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37C6C" w14:textId="77777777" w:rsidR="008427DB" w:rsidRPr="008427DB" w:rsidRDefault="008427DB" w:rsidP="008427DB">
      <w:pPr>
        <w:spacing w:after="0" w:line="240" w:lineRule="auto"/>
        <w:jc w:val="center"/>
        <w:rPr>
          <w:rFonts w:ascii="Times New Roman" w:eastAsia="Times New Roman" w:hAnsi="Times New Roman" w:cs="Times New Roman"/>
          <w:b/>
          <w:spacing w:val="20"/>
          <w:sz w:val="28"/>
          <w:szCs w:val="28"/>
          <w:lang w:eastAsia="ru-RU"/>
        </w:rPr>
      </w:pPr>
      <w:r w:rsidRPr="008427DB">
        <w:rPr>
          <w:rFonts w:ascii="Times New Roman" w:eastAsia="Times New Roman" w:hAnsi="Times New Roman" w:cs="Times New Roman"/>
          <w:b/>
          <w:spacing w:val="20"/>
          <w:sz w:val="28"/>
          <w:szCs w:val="28"/>
          <w:lang w:eastAsia="ru-RU"/>
        </w:rPr>
        <w:t>АДМИНИСТРАЦИЯ МУНИЦИПАЛЬНОГО ОБРАЗОВАНИЯ</w:t>
      </w:r>
    </w:p>
    <w:p w14:paraId="7D08E74A" w14:textId="77777777" w:rsidR="008427DB" w:rsidRPr="008427DB" w:rsidRDefault="008427DB" w:rsidP="008427DB">
      <w:pPr>
        <w:spacing w:after="0" w:line="240" w:lineRule="auto"/>
        <w:jc w:val="center"/>
        <w:rPr>
          <w:rFonts w:ascii="Times New Roman" w:eastAsia="Times New Roman" w:hAnsi="Times New Roman" w:cs="Times New Roman"/>
          <w:b/>
          <w:spacing w:val="20"/>
          <w:sz w:val="28"/>
          <w:szCs w:val="28"/>
          <w:lang w:eastAsia="ru-RU"/>
        </w:rPr>
      </w:pPr>
      <w:r w:rsidRPr="008427DB">
        <w:rPr>
          <w:rFonts w:ascii="Times New Roman" w:eastAsia="Times New Roman" w:hAnsi="Times New Roman" w:cs="Times New Roman"/>
          <w:b/>
          <w:spacing w:val="20"/>
          <w:sz w:val="28"/>
          <w:szCs w:val="28"/>
          <w:lang w:eastAsia="ru-RU"/>
        </w:rPr>
        <w:t>КАНЕВСКОЙ МУНИЦИПАЛЬНЫЙ РАЙОН</w:t>
      </w:r>
    </w:p>
    <w:p w14:paraId="599DFA97" w14:textId="77777777" w:rsidR="008427DB" w:rsidRPr="008427DB" w:rsidRDefault="008427DB" w:rsidP="008427DB">
      <w:pPr>
        <w:spacing w:after="0" w:line="240" w:lineRule="auto"/>
        <w:jc w:val="center"/>
        <w:rPr>
          <w:rFonts w:ascii="Times New Roman" w:eastAsia="Times New Roman" w:hAnsi="Times New Roman" w:cs="Times New Roman"/>
          <w:b/>
          <w:spacing w:val="20"/>
          <w:sz w:val="28"/>
          <w:szCs w:val="28"/>
          <w:lang w:eastAsia="ru-RU"/>
        </w:rPr>
      </w:pPr>
      <w:r w:rsidRPr="008427DB">
        <w:rPr>
          <w:rFonts w:ascii="Times New Roman" w:eastAsia="Times New Roman" w:hAnsi="Times New Roman" w:cs="Times New Roman"/>
          <w:b/>
          <w:spacing w:val="20"/>
          <w:sz w:val="28"/>
          <w:szCs w:val="28"/>
          <w:lang w:eastAsia="ru-RU"/>
        </w:rPr>
        <w:t>КРАСНОДАРСКОГО КРАЯ</w:t>
      </w:r>
    </w:p>
    <w:p w14:paraId="1CA364AD" w14:textId="77777777" w:rsidR="008427DB" w:rsidRPr="008427DB" w:rsidRDefault="008427DB" w:rsidP="008427DB">
      <w:pPr>
        <w:spacing w:after="0" w:line="240" w:lineRule="auto"/>
        <w:jc w:val="center"/>
        <w:rPr>
          <w:rFonts w:ascii="Times New Roman" w:eastAsia="Times New Roman" w:hAnsi="Times New Roman" w:cs="Times New Roman"/>
          <w:b/>
          <w:spacing w:val="20"/>
          <w:sz w:val="28"/>
          <w:szCs w:val="28"/>
          <w:lang w:eastAsia="ru-RU"/>
        </w:rPr>
      </w:pPr>
    </w:p>
    <w:p w14:paraId="4359F0F4" w14:textId="77777777" w:rsidR="008427DB" w:rsidRPr="008427DB" w:rsidRDefault="008427DB" w:rsidP="008427DB">
      <w:pPr>
        <w:spacing w:after="0" w:line="240" w:lineRule="auto"/>
        <w:jc w:val="center"/>
        <w:rPr>
          <w:rFonts w:ascii="Times New Roman" w:eastAsia="Times New Roman" w:hAnsi="Times New Roman" w:cs="Times New Roman"/>
          <w:b/>
          <w:sz w:val="8"/>
          <w:szCs w:val="8"/>
          <w:lang w:eastAsia="ru-RU"/>
        </w:rPr>
      </w:pPr>
    </w:p>
    <w:p w14:paraId="6C7D8BA4" w14:textId="77777777" w:rsidR="008427DB" w:rsidRPr="008427DB" w:rsidRDefault="008427DB" w:rsidP="008427DB">
      <w:pPr>
        <w:spacing w:after="0" w:line="240" w:lineRule="auto"/>
        <w:jc w:val="center"/>
        <w:rPr>
          <w:rFonts w:ascii="Times New Roman" w:eastAsia="Times New Roman" w:hAnsi="Times New Roman" w:cs="Times New Roman"/>
          <w:b/>
          <w:spacing w:val="20"/>
          <w:sz w:val="32"/>
          <w:szCs w:val="32"/>
          <w:lang w:eastAsia="ru-RU"/>
        </w:rPr>
      </w:pPr>
      <w:r w:rsidRPr="008427DB">
        <w:rPr>
          <w:rFonts w:ascii="Times New Roman" w:eastAsia="Times New Roman" w:hAnsi="Times New Roman" w:cs="Times New Roman"/>
          <w:b/>
          <w:spacing w:val="20"/>
          <w:sz w:val="32"/>
          <w:szCs w:val="32"/>
          <w:lang w:eastAsia="ru-RU"/>
        </w:rPr>
        <w:t>ПОСТАНОВЛЕНИЕ</w:t>
      </w:r>
    </w:p>
    <w:p w14:paraId="27630BF7" w14:textId="77777777" w:rsidR="008427DB" w:rsidRPr="008427DB" w:rsidRDefault="008427DB" w:rsidP="008427DB">
      <w:pPr>
        <w:spacing w:after="0" w:line="240" w:lineRule="auto"/>
        <w:jc w:val="center"/>
        <w:rPr>
          <w:rFonts w:ascii="Times New Roman" w:eastAsia="Times New Roman" w:hAnsi="Times New Roman" w:cs="Times New Roman"/>
          <w:b/>
          <w:sz w:val="24"/>
          <w:szCs w:val="24"/>
          <w:lang w:eastAsia="ru-RU"/>
        </w:rPr>
      </w:pPr>
    </w:p>
    <w:p w14:paraId="1DCEC019" w14:textId="363CA0DD" w:rsidR="008427DB" w:rsidRPr="008427DB" w:rsidRDefault="008427DB" w:rsidP="008427DB">
      <w:pPr>
        <w:spacing w:after="0" w:line="240" w:lineRule="auto"/>
        <w:rPr>
          <w:rFonts w:ascii="Times New Roman" w:eastAsia="Times New Roman" w:hAnsi="Times New Roman" w:cs="Times New Roman"/>
          <w:sz w:val="28"/>
          <w:szCs w:val="28"/>
          <w:lang w:eastAsia="ru-RU"/>
        </w:rPr>
      </w:pPr>
      <w:r w:rsidRPr="008427DB">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31.03.2026</w:t>
      </w:r>
      <w:r w:rsidRPr="008427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427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416</w:t>
      </w:r>
    </w:p>
    <w:p w14:paraId="4B1A5703" w14:textId="1FAC4FDB" w:rsidR="004D7A63" w:rsidRDefault="008427DB" w:rsidP="008427DB">
      <w:pPr>
        <w:spacing w:after="0" w:line="240" w:lineRule="auto"/>
        <w:jc w:val="center"/>
        <w:rPr>
          <w:rFonts w:ascii="Times New Roman" w:eastAsia="Times New Roman" w:hAnsi="Times New Roman" w:cs="Times New Roman"/>
          <w:b/>
          <w:sz w:val="28"/>
          <w:szCs w:val="24"/>
          <w:lang w:eastAsia="ru-RU"/>
        </w:rPr>
      </w:pPr>
      <w:r w:rsidRPr="008427DB">
        <w:rPr>
          <w:rFonts w:ascii="Times New Roman" w:eastAsia="Times New Roman" w:hAnsi="Times New Roman" w:cs="Times New Roman"/>
          <w:sz w:val="26"/>
          <w:szCs w:val="26"/>
          <w:lang w:eastAsia="ru-RU"/>
        </w:rPr>
        <w:t>ст-ца Каневская</w:t>
      </w:r>
    </w:p>
    <w:p w14:paraId="4C88EA07"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8427DB">
      <w:pPr>
        <w:spacing w:after="0" w:line="240" w:lineRule="auto"/>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5C90195E"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муниципальный </w:t>
      </w:r>
      <w:r w:rsidRPr="00CA7408">
        <w:rPr>
          <w:rFonts w:ascii="Times New Roman" w:eastAsia="Times New Roman" w:hAnsi="Times New Roman" w:cs="Times New Roman"/>
          <w:b/>
          <w:sz w:val="28"/>
          <w:szCs w:val="24"/>
          <w:lang w:eastAsia="ru-RU"/>
        </w:rPr>
        <w:t xml:space="preserve">район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1F2A1F24"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16DE9156"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2316E4">
        <w:rPr>
          <w:rFonts w:ascii="Times New Roman" w:eastAsia="Times New Roman" w:hAnsi="Times New Roman" w:cs="Times New Roman"/>
          <w:sz w:val="28"/>
          <w:szCs w:val="24"/>
          <w:lang w:eastAsia="ru-RU"/>
        </w:rPr>
        <w:t xml:space="preserve">, от </w:t>
      </w:r>
      <w:r w:rsidR="00B700FE">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w:t>
      </w:r>
      <w:r w:rsidR="00CA7408" w:rsidRPr="00CA7408">
        <w:rPr>
          <w:rFonts w:ascii="Times New Roman" w:eastAsia="Times New Roman" w:hAnsi="Times New Roman" w:cs="Times New Roman"/>
          <w:sz w:val="28"/>
          <w:szCs w:val="24"/>
          <w:lang w:eastAsia="ru-RU"/>
        </w:rPr>
        <w:lastRenderedPageBreak/>
        <w:t>позицию «Объемы бюджетных ассигнований муниципальной программы» изложить в следующей редакции:</w:t>
      </w:r>
    </w:p>
    <w:p w14:paraId="5B3A5F32" w14:textId="2299591D"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CB037E">
        <w:rPr>
          <w:rFonts w:ascii="Times New Roman" w:eastAsia="Times New Roman" w:hAnsi="Times New Roman" w:cs="Times New Roman"/>
          <w:color w:val="000000"/>
          <w:sz w:val="28"/>
          <w:szCs w:val="28"/>
          <w:lang w:eastAsia="ru-RU"/>
        </w:rPr>
        <w:t>11136762,3</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D0412BF"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2316E4">
        <w:rPr>
          <w:rFonts w:ascii="Times New Roman" w:hAnsi="Times New Roman" w:cs="Times New Roman"/>
          <w:sz w:val="28"/>
          <w:szCs w:val="28"/>
        </w:rPr>
        <w:t>829958,0</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B62708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311612,8</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5D24F5CB"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7508405,4</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30A48417"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1865165,9</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3E6D7A87"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CB037E">
        <w:rPr>
          <w:rFonts w:ascii="Times New Roman" w:hAnsi="Times New Roman" w:cs="Times New Roman"/>
          <w:sz w:val="28"/>
          <w:szCs w:val="28"/>
        </w:rPr>
        <w:t>2798398,9</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39EB8CC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CB037E">
        <w:rPr>
          <w:rFonts w:ascii="Times New Roman" w:hAnsi="Times New Roman" w:cs="Times New Roman"/>
          <w:sz w:val="28"/>
          <w:szCs w:val="28"/>
        </w:rPr>
        <w:t>725691,4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6BFB569" w:rsidR="003A3713" w:rsidRPr="00B842BE" w:rsidRDefault="002316E4" w:rsidP="003A3713">
            <w:pPr>
              <w:jc w:val="center"/>
              <w:rPr>
                <w:rFonts w:ascii="Times New Roman" w:hAnsi="Times New Roman" w:cs="Times New Roman"/>
              </w:rPr>
            </w:pPr>
            <w:r>
              <w:rPr>
                <w:rFonts w:ascii="Times New Roman" w:hAnsi="Times New Roman" w:cs="Times New Roman"/>
              </w:rPr>
              <w:t>311612,8</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7DCAA1A3" w:rsidR="003A3713" w:rsidRPr="00B842BE" w:rsidRDefault="002316E4" w:rsidP="003A3713">
            <w:pPr>
              <w:jc w:val="center"/>
              <w:rPr>
                <w:rFonts w:ascii="Times New Roman" w:hAnsi="Times New Roman" w:cs="Times New Roman"/>
              </w:rPr>
            </w:pPr>
            <w:r>
              <w:rPr>
                <w:rFonts w:ascii="Times New Roman" w:hAnsi="Times New Roman" w:cs="Times New Roman"/>
              </w:rPr>
              <w:t>1865165,9</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lastRenderedPageBreak/>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273D8073" w:rsidR="003A3713" w:rsidRPr="00B842BE" w:rsidRDefault="00CB037E" w:rsidP="003A3713">
            <w:pPr>
              <w:jc w:val="center"/>
              <w:rPr>
                <w:rFonts w:ascii="Times New Roman" w:hAnsi="Times New Roman" w:cs="Times New Roman"/>
              </w:rPr>
            </w:pPr>
            <w:r>
              <w:rPr>
                <w:rFonts w:ascii="Times New Roman" w:hAnsi="Times New Roman" w:cs="Times New Roman"/>
              </w:rPr>
              <w:t>725691,4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771D285F" w:rsidR="003A3713" w:rsidRPr="00B842BE" w:rsidRDefault="00CB037E" w:rsidP="003A3713">
            <w:pPr>
              <w:jc w:val="center"/>
              <w:rPr>
                <w:rFonts w:ascii="Times New Roman" w:hAnsi="Times New Roman" w:cs="Times New Roman"/>
              </w:rPr>
            </w:pPr>
            <w:r>
              <w:rPr>
                <w:rFonts w:ascii="Times New Roman" w:hAnsi="Times New Roman" w:cs="Times New Roman"/>
              </w:rPr>
              <w:t>2902470,1</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4F6CA8D6"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proofErr w:type="gramStart"/>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proofErr w:type="gramEnd"/>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151538">
        <w:rPr>
          <w:rFonts w:ascii="Times New Roman" w:eastAsia="Times New Roman" w:hAnsi="Times New Roman" w:cs="Times New Roman"/>
          <w:sz w:val="28"/>
          <w:szCs w:val="28"/>
          <w:lang w:eastAsia="ru-RU"/>
        </w:rPr>
        <w:t>3739543,9</w:t>
      </w:r>
      <w:r w:rsidR="00CC2CA3" w:rsidRPr="00CA7408">
        <w:rPr>
          <w:rFonts w:ascii="Times New Roman" w:eastAsia="Times New Roman" w:hAnsi="Times New Roman" w:cs="Times New Roman"/>
          <w:sz w:val="28"/>
          <w:szCs w:val="28"/>
          <w:lang w:eastAsia="ru-RU"/>
        </w:rPr>
        <w:t xml:space="preserve"> тысяч рублей;</w:t>
      </w:r>
    </w:p>
    <w:p w14:paraId="3795A131" w14:textId="6421FC4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757CE463"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5BF59038"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2721227,0</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53F3991C"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2316E4">
        <w:rPr>
          <w:rFonts w:ascii="Times New Roman" w:hAnsi="Times New Roman" w:cs="Times New Roman"/>
          <w:sz w:val="28"/>
          <w:szCs w:val="28"/>
        </w:rPr>
        <w:t>690219,3</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30D2A87C"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4E14A7">
        <w:rPr>
          <w:rFonts w:ascii="Times New Roman" w:hAnsi="Times New Roman" w:cs="Times New Roman"/>
          <w:sz w:val="28"/>
          <w:szCs w:val="28"/>
        </w:rPr>
        <w:t>963819,5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BCFE6C7"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4E14A7">
        <w:rPr>
          <w:rFonts w:ascii="Times New Roman" w:hAnsi="Times New Roman" w:cs="Times New Roman"/>
          <w:sz w:val="28"/>
          <w:szCs w:val="28"/>
        </w:rPr>
        <w:t>250386,4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0D25FB0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w:t>
      </w:r>
      <w:proofErr w:type="gramStart"/>
      <w:r w:rsidRPr="00CA7408">
        <w:rPr>
          <w:rFonts w:ascii="Times New Roman" w:eastAsia="Times New Roman" w:hAnsi="Times New Roman" w:cs="Times New Roman"/>
          <w:sz w:val="28"/>
          <w:szCs w:val="28"/>
          <w:lang w:eastAsia="ru-RU"/>
        </w:rPr>
        <w:t xml:space="preserve">Таблицу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2</w:t>
      </w:r>
      <w:proofErr w:type="gramEnd"/>
      <w:r w:rsidRPr="00CA7408">
        <w:rPr>
          <w:rFonts w:ascii="Times New Roman" w:eastAsia="Times New Roman" w:hAnsi="Times New Roman" w:cs="Times New Roman"/>
          <w:sz w:val="28"/>
          <w:szCs w:val="28"/>
          <w:lang w:eastAsia="ru-RU"/>
        </w:rPr>
        <w:t xml:space="preserve"> раздела 3 «Обоснование ресурсного обеспечения подпрограммы» приложения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lastRenderedPageBreak/>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70496DCE" w:rsidR="000D6BD5" w:rsidRDefault="002316E4" w:rsidP="000D6BD5">
            <w:pPr>
              <w:jc w:val="center"/>
              <w:rPr>
                <w:color w:val="000000"/>
              </w:rPr>
            </w:pPr>
            <w:r>
              <w:rPr>
                <w:color w:val="000000"/>
              </w:rPr>
              <w:t>54497,4</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2FEF4D06" w:rsidR="000D6BD5" w:rsidRPr="0036446C" w:rsidRDefault="002316E4" w:rsidP="000D6BD5">
            <w:pPr>
              <w:jc w:val="center"/>
            </w:pPr>
            <w:r>
              <w:t>690219,3</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0EE40242" w:rsidR="000D6BD5" w:rsidRPr="0036446C" w:rsidRDefault="004E14A7" w:rsidP="000D6BD5">
            <w:pPr>
              <w:jc w:val="center"/>
            </w:pPr>
            <w:r>
              <w:t>250386,4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7E4E8913" w:rsidR="000D6BD5" w:rsidRPr="0036446C" w:rsidRDefault="00151538" w:rsidP="000D6BD5">
            <w:pPr>
              <w:jc w:val="center"/>
            </w:pPr>
            <w:r>
              <w:t>995103,1</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3D243A80"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3517691,8</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7F0D2C60" w:rsidR="003F0A02" w:rsidRPr="0036446C" w:rsidRDefault="00806F9B" w:rsidP="003F0A02">
            <w:pPr>
              <w:rPr>
                <w:rFonts w:ascii="Times New Roman" w:hAnsi="Times New Roman" w:cs="Times New Roman"/>
                <w:sz w:val="20"/>
                <w:szCs w:val="20"/>
              </w:rPr>
            </w:pPr>
            <w:r>
              <w:rPr>
                <w:rFonts w:ascii="Times New Roman" w:hAnsi="Times New Roman" w:cs="Times New Roman"/>
                <w:sz w:val="20"/>
                <w:szCs w:val="20"/>
              </w:rPr>
              <w:t>854240,5</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3E175900" w:rsidR="003F0A02" w:rsidRPr="0036446C" w:rsidRDefault="000C36ED" w:rsidP="003F0A02">
            <w:pPr>
              <w:jc w:val="center"/>
              <w:rPr>
                <w:rFonts w:ascii="Times New Roman" w:hAnsi="Times New Roman" w:cs="Times New Roman"/>
                <w:sz w:val="20"/>
                <w:szCs w:val="20"/>
              </w:rPr>
            </w:pPr>
            <w:r>
              <w:rPr>
                <w:rFonts w:ascii="Times New Roman" w:hAnsi="Times New Roman" w:cs="Times New Roman"/>
                <w:sz w:val="20"/>
                <w:szCs w:val="20"/>
              </w:rPr>
              <w:t>958738,4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0A923F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245546,1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5678B8B2"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2558953,4</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5D29F1F1"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608694,4</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w:t>
            </w:r>
            <w:proofErr w:type="gramStart"/>
            <w:r w:rsidR="007F1947">
              <w:rPr>
                <w:rFonts w:ascii="Times New Roman" w:hAnsi="Times New Roman" w:cs="Times New Roman"/>
                <w:sz w:val="20"/>
                <w:szCs w:val="20"/>
              </w:rPr>
              <w:t xml:space="preserve">   «</w:t>
            </w:r>
            <w:proofErr w:type="gramEnd"/>
            <w:r w:rsidR="007F1947">
              <w:rPr>
                <w:rFonts w:ascii="Times New Roman" w:hAnsi="Times New Roman" w:cs="Times New Roman"/>
                <w:sz w:val="20"/>
                <w:szCs w:val="20"/>
              </w:rPr>
              <w:t xml:space="preserve">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C60B72">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C60B72">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C60B72">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F57613">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F57613">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2316E4" w:rsidRPr="0036446C" w14:paraId="312677BF" w14:textId="77777777" w:rsidTr="000064DF">
        <w:tc>
          <w:tcPr>
            <w:tcW w:w="566" w:type="dxa"/>
            <w:vMerge/>
          </w:tcPr>
          <w:p w14:paraId="10B7425A"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1793077" w14:textId="77777777" w:rsidR="002316E4" w:rsidRPr="00E06E07" w:rsidRDefault="002316E4" w:rsidP="002316E4">
            <w:pPr>
              <w:jc w:val="both"/>
              <w:rPr>
                <w:rFonts w:ascii="Times New Roman" w:hAnsi="Times New Roman" w:cs="Times New Roman"/>
                <w:sz w:val="20"/>
                <w:szCs w:val="20"/>
              </w:rPr>
            </w:pPr>
          </w:p>
        </w:tc>
        <w:tc>
          <w:tcPr>
            <w:tcW w:w="1641" w:type="dxa"/>
          </w:tcPr>
          <w:p w14:paraId="014520CC" w14:textId="5449EFCF"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16B384B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4BD6708" w14:textId="77777777" w:rsidR="002316E4" w:rsidRPr="0036446C" w:rsidRDefault="002316E4" w:rsidP="002316E4">
            <w:pPr>
              <w:jc w:val="both"/>
              <w:rPr>
                <w:rFonts w:ascii="Times New Roman" w:hAnsi="Times New Roman" w:cs="Times New Roman"/>
                <w:sz w:val="20"/>
                <w:szCs w:val="20"/>
              </w:rPr>
            </w:pPr>
          </w:p>
        </w:tc>
      </w:tr>
      <w:tr w:rsidR="002316E4" w:rsidRPr="0036446C" w14:paraId="202C87C2" w14:textId="77777777" w:rsidTr="000064DF">
        <w:tc>
          <w:tcPr>
            <w:tcW w:w="566" w:type="dxa"/>
            <w:vMerge/>
          </w:tcPr>
          <w:p w14:paraId="2BCCAC0F"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5F194D6" w14:textId="77777777" w:rsidR="002316E4" w:rsidRPr="00E06E07" w:rsidRDefault="002316E4" w:rsidP="002316E4">
            <w:pPr>
              <w:jc w:val="both"/>
              <w:rPr>
                <w:rFonts w:ascii="Times New Roman" w:hAnsi="Times New Roman" w:cs="Times New Roman"/>
                <w:sz w:val="20"/>
                <w:szCs w:val="20"/>
              </w:rPr>
            </w:pPr>
          </w:p>
        </w:tc>
        <w:tc>
          <w:tcPr>
            <w:tcW w:w="1641" w:type="dxa"/>
          </w:tcPr>
          <w:p w14:paraId="7FE7CA54" w14:textId="3381C96B"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4D2B8EF1"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00BB14E8" w14:textId="643176C4"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842DA4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25D53AD7" w14:textId="14F9377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5DE7C990" w14:textId="77777777" w:rsidR="002316E4" w:rsidRPr="0036446C" w:rsidRDefault="002316E4" w:rsidP="002316E4">
            <w:pPr>
              <w:jc w:val="both"/>
              <w:rPr>
                <w:rFonts w:ascii="Times New Roman" w:hAnsi="Times New Roman" w:cs="Times New Roman"/>
                <w:sz w:val="20"/>
                <w:szCs w:val="20"/>
              </w:rPr>
            </w:pPr>
          </w:p>
        </w:tc>
      </w:tr>
      <w:tr w:rsidR="002316E4" w:rsidRPr="0036446C" w14:paraId="1089A594" w14:textId="77777777" w:rsidTr="000064DF">
        <w:tc>
          <w:tcPr>
            <w:tcW w:w="566" w:type="dxa"/>
            <w:vMerge/>
          </w:tcPr>
          <w:p w14:paraId="6760ED46"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0C7B816E" w14:textId="77777777" w:rsidR="002316E4" w:rsidRPr="00E06E07" w:rsidRDefault="002316E4" w:rsidP="002316E4">
            <w:pPr>
              <w:jc w:val="both"/>
              <w:rPr>
                <w:rFonts w:ascii="Times New Roman" w:hAnsi="Times New Roman" w:cs="Times New Roman"/>
                <w:sz w:val="20"/>
                <w:szCs w:val="20"/>
              </w:rPr>
            </w:pPr>
          </w:p>
        </w:tc>
        <w:tc>
          <w:tcPr>
            <w:tcW w:w="1641" w:type="dxa"/>
          </w:tcPr>
          <w:p w14:paraId="79211B1F" w14:textId="1518D2F5"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6F871ECB"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3C6F1388" w14:textId="58A63C0E"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3F89D37F"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06023E3E" w14:textId="7C09E4AC"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9DBCE64" w14:textId="77777777" w:rsidR="002316E4" w:rsidRPr="0036446C" w:rsidRDefault="002316E4" w:rsidP="002316E4">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6AF5B658"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3739543,9</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4CEDB06D"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995103,1</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6208BC28" w:rsidR="00C46223" w:rsidRPr="0018490A" w:rsidRDefault="007E7E95" w:rsidP="00C46223">
            <w:pPr>
              <w:jc w:val="center"/>
              <w:rPr>
                <w:rFonts w:ascii="Times New Roman" w:hAnsi="Times New Roman" w:cs="Times New Roman"/>
                <w:sz w:val="20"/>
                <w:szCs w:val="20"/>
              </w:rPr>
            </w:pPr>
            <w:r>
              <w:rPr>
                <w:rFonts w:ascii="Times New Roman" w:hAnsi="Times New Roman" w:cs="Times New Roman"/>
                <w:sz w:val="20"/>
                <w:szCs w:val="20"/>
              </w:rPr>
              <w:t>963819,5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808656F"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250386,4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6545A26F" w:rsidR="005F03CF" w:rsidRPr="0018490A" w:rsidRDefault="00816D4E" w:rsidP="005F03CF">
            <w:pPr>
              <w:jc w:val="center"/>
              <w:rPr>
                <w:rFonts w:ascii="Times New Roman" w:hAnsi="Times New Roman" w:cs="Times New Roman"/>
                <w:sz w:val="20"/>
                <w:szCs w:val="20"/>
              </w:rPr>
            </w:pPr>
            <w:r>
              <w:rPr>
                <w:rFonts w:ascii="Times New Roman" w:hAnsi="Times New Roman" w:cs="Times New Roman"/>
                <w:sz w:val="20"/>
                <w:szCs w:val="20"/>
              </w:rPr>
              <w:t>2721227,0</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38EDD142" w:rsidR="00C46223" w:rsidRPr="0018490A" w:rsidRDefault="002B7296" w:rsidP="00C46223">
            <w:pPr>
              <w:jc w:val="center"/>
              <w:rPr>
                <w:rFonts w:ascii="Times New Roman" w:hAnsi="Times New Roman" w:cs="Times New Roman"/>
                <w:sz w:val="20"/>
                <w:szCs w:val="20"/>
              </w:rPr>
            </w:pPr>
            <w:r>
              <w:rPr>
                <w:rFonts w:ascii="Times New Roman" w:hAnsi="Times New Roman" w:cs="Times New Roman"/>
                <w:sz w:val="20"/>
                <w:szCs w:val="20"/>
              </w:rPr>
              <w:t>690219,3</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40CBC28D"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67FB7C05"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413F7CC9"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E15268">
        <w:rPr>
          <w:rFonts w:ascii="Times New Roman" w:eastAsia="Times New Roman" w:hAnsi="Times New Roman" w:cs="Times New Roman"/>
          <w:sz w:val="28"/>
          <w:szCs w:val="28"/>
          <w:lang w:eastAsia="ru-RU"/>
        </w:rPr>
        <w:t>6433149,4</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1B79D4D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6B1F33">
        <w:rPr>
          <w:rFonts w:ascii="Times New Roman" w:hAnsi="Times New Roman" w:cs="Times New Roman"/>
          <w:sz w:val="28"/>
          <w:szCs w:val="28"/>
        </w:rPr>
        <w:t>775460,6</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76ADDBB9"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257115,4</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421DEC2"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6B1F33">
        <w:rPr>
          <w:rFonts w:ascii="Times New Roman" w:hAnsi="Times New Roman" w:cs="Times New Roman"/>
          <w:sz w:val="28"/>
          <w:szCs w:val="28"/>
        </w:rPr>
        <w:t>4684083,6</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6BB335D9"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1149880,6</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15053E6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E15268">
        <w:rPr>
          <w:rFonts w:ascii="Times New Roman" w:hAnsi="Times New Roman" w:cs="Times New Roman"/>
          <w:sz w:val="28"/>
          <w:szCs w:val="28"/>
        </w:rPr>
        <w:t>973605,2</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6E7348B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E15268">
        <w:rPr>
          <w:rFonts w:ascii="Times New Roman" w:hAnsi="Times New Roman" w:cs="Times New Roman"/>
          <w:sz w:val="28"/>
          <w:szCs w:val="28"/>
        </w:rPr>
        <w:t>244011,2</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11B2F25A" w:rsidR="00283314" w:rsidRPr="009C2CF5" w:rsidRDefault="006B1F33" w:rsidP="00283314">
            <w:pPr>
              <w:jc w:val="center"/>
              <w:rPr>
                <w:sz w:val="24"/>
                <w:szCs w:val="24"/>
              </w:rPr>
            </w:pPr>
            <w:r>
              <w:rPr>
                <w:sz w:val="24"/>
                <w:szCs w:val="24"/>
              </w:rPr>
              <w:t>257115,4</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53CA8CF4" w:rsidR="00283314" w:rsidRPr="000070E0" w:rsidRDefault="006B1F33" w:rsidP="00283314">
            <w:pPr>
              <w:jc w:val="center"/>
              <w:rPr>
                <w:sz w:val="24"/>
                <w:szCs w:val="24"/>
              </w:rPr>
            </w:pPr>
            <w:r>
              <w:rPr>
                <w:sz w:val="24"/>
                <w:szCs w:val="24"/>
              </w:rPr>
              <w:t>1149880,6</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429DDC55" w:rsidR="009C2CF5" w:rsidRPr="009C2CF5" w:rsidRDefault="00E15268" w:rsidP="009C2CF5">
            <w:pPr>
              <w:jc w:val="center"/>
              <w:rPr>
                <w:sz w:val="24"/>
                <w:szCs w:val="24"/>
              </w:rPr>
            </w:pPr>
            <w:r>
              <w:rPr>
                <w:sz w:val="24"/>
                <w:szCs w:val="24"/>
              </w:rPr>
              <w:t>244</w:t>
            </w:r>
            <w:r w:rsidR="000A2F5B">
              <w:rPr>
                <w:sz w:val="24"/>
                <w:szCs w:val="24"/>
              </w:rPr>
              <w:t>011,2</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14761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277121EE" w:rsidR="00283314" w:rsidRPr="001A5D0E" w:rsidRDefault="000A2F5B" w:rsidP="00A7459B">
            <w:pPr>
              <w:rPr>
                <w:sz w:val="24"/>
                <w:szCs w:val="24"/>
              </w:rPr>
            </w:pPr>
            <w:r>
              <w:rPr>
                <w:sz w:val="24"/>
                <w:szCs w:val="24"/>
              </w:rPr>
              <w:t>1651007,2</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w:t>
            </w:r>
            <w:proofErr w:type="gramStart"/>
            <w:r>
              <w:rPr>
                <w:rFonts w:ascii="Times New Roman" w:hAnsi="Times New Roman" w:cs="Times New Roman"/>
                <w:sz w:val="20"/>
                <w:szCs w:val="20"/>
              </w:rPr>
              <w:t>по  строительству</w:t>
            </w:r>
            <w:proofErr w:type="gramEnd"/>
            <w:r>
              <w:rPr>
                <w:rFonts w:ascii="Times New Roman" w:hAnsi="Times New Roman" w:cs="Times New Roman"/>
                <w:sz w:val="20"/>
                <w:szCs w:val="20"/>
              </w:rPr>
              <w:t xml:space="preserve">,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2E354259" w:rsidR="00665970" w:rsidRDefault="000A2F5B" w:rsidP="00665970">
            <w:pPr>
              <w:jc w:val="center"/>
              <w:rPr>
                <w:rFonts w:ascii="Times New Roman" w:hAnsi="Times New Roman" w:cs="Times New Roman"/>
                <w:sz w:val="20"/>
                <w:szCs w:val="20"/>
              </w:rPr>
            </w:pPr>
            <w:r>
              <w:rPr>
                <w:rFonts w:ascii="Times New Roman" w:hAnsi="Times New Roman" w:cs="Times New Roman"/>
                <w:sz w:val="20"/>
                <w:szCs w:val="20"/>
              </w:rPr>
              <w:t>4881290,1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6A923A1E" w:rsidR="00665970" w:rsidRDefault="000A2F5B"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1175045,5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86BEA05" w:rsidR="00326D3A" w:rsidRDefault="000A2F5B" w:rsidP="00326D3A">
            <w:pPr>
              <w:jc w:val="center"/>
              <w:rPr>
                <w:rFonts w:ascii="Times New Roman" w:hAnsi="Times New Roman" w:cs="Times New Roman"/>
                <w:sz w:val="20"/>
                <w:szCs w:val="20"/>
              </w:rPr>
            </w:pPr>
            <w:r>
              <w:rPr>
                <w:rFonts w:ascii="Times New Roman" w:hAnsi="Times New Roman" w:cs="Times New Roman"/>
                <w:sz w:val="20"/>
                <w:szCs w:val="20"/>
              </w:rPr>
              <w:t>697187,3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54A2D219" w:rsidR="00326D3A" w:rsidRDefault="000A2F5B"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171543,1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158F4C51" w:rsidR="004400FE" w:rsidRDefault="004400FE" w:rsidP="004400FE">
            <w:pPr>
              <w:jc w:val="center"/>
              <w:rPr>
                <w:rFonts w:ascii="Times New Roman" w:hAnsi="Times New Roman" w:cs="Times New Roman"/>
                <w:sz w:val="20"/>
                <w:szCs w:val="20"/>
              </w:rPr>
            </w:pPr>
            <w:r>
              <w:rPr>
                <w:rFonts w:ascii="Times New Roman" w:hAnsi="Times New Roman" w:cs="Times New Roman"/>
                <w:sz w:val="20"/>
                <w:szCs w:val="20"/>
              </w:rPr>
              <w:t>4184102,8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4C108FA5"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1003502,4</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2BACBB5D" w:rsidR="00DD1AB7" w:rsidRPr="005A79ED" w:rsidRDefault="005A79ED" w:rsidP="00DD1AB7">
            <w:pPr>
              <w:jc w:val="center"/>
              <w:rPr>
                <w:rFonts w:ascii="Times New Roman" w:hAnsi="Times New Roman" w:cs="Times New Roman"/>
                <w:sz w:val="20"/>
                <w:szCs w:val="20"/>
              </w:rPr>
            </w:pPr>
            <w:r w:rsidRPr="005A79ED">
              <w:rPr>
                <w:rFonts w:ascii="Times New Roman" w:hAnsi="Times New Roman" w:cs="Times New Roman"/>
                <w:sz w:val="20"/>
                <w:szCs w:val="20"/>
              </w:rPr>
              <w:t>79</w:t>
            </w:r>
            <w:r w:rsidR="005D60A8">
              <w:rPr>
                <w:rFonts w:ascii="Times New Roman" w:hAnsi="Times New Roman" w:cs="Times New Roman"/>
                <w:sz w:val="20"/>
                <w:szCs w:val="20"/>
              </w:rPr>
              <w:t>0</w:t>
            </w:r>
            <w:r w:rsidRPr="005A79ED">
              <w:rPr>
                <w:rFonts w:ascii="Times New Roman" w:hAnsi="Times New Roman" w:cs="Times New Roman"/>
                <w:sz w:val="20"/>
                <w:szCs w:val="20"/>
              </w:rPr>
              <w:t>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20025F6A" w:rsidR="00DD1AB7" w:rsidRP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F35B18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79085,5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04DA5F3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Обеспечены </w:t>
            </w:r>
            <w:proofErr w:type="gramStart"/>
            <w:r>
              <w:rPr>
                <w:rFonts w:ascii="Times New Roman" w:hAnsi="Times New Roman" w:cs="Times New Roman"/>
                <w:sz w:val="20"/>
                <w:szCs w:val="20"/>
              </w:rPr>
              <w:t>бесплатным  горячим</w:t>
            </w:r>
            <w:proofErr w:type="gramEnd"/>
            <w:r>
              <w:rPr>
                <w:rFonts w:ascii="Times New Roman" w:hAnsi="Times New Roman" w:cs="Times New Roman"/>
                <w:sz w:val="20"/>
                <w:szCs w:val="20"/>
              </w:rPr>
              <w:t xml:space="preserve">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proofErr w:type="gramStart"/>
            <w:r>
              <w:rPr>
                <w:rFonts w:ascii="Times New Roman" w:hAnsi="Times New Roman" w:cs="Times New Roman"/>
                <w:sz w:val="20"/>
                <w:szCs w:val="20"/>
              </w:rPr>
              <w:t>Доля педагогических работников муниципальных общеобразовательных организаций</w:t>
            </w:r>
            <w:proofErr w:type="gramEnd"/>
            <w:r>
              <w:rPr>
                <w:rFonts w:ascii="Times New Roman" w:hAnsi="Times New Roman" w:cs="Times New Roman"/>
                <w:sz w:val="20"/>
                <w:szCs w:val="20"/>
              </w:rPr>
              <w:t xml:space="preserve">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45F16CC1"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432414,6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429CDCA9"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207556,9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2CC6DD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104819,5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2B4C05B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58926,9</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4E17A0F7"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302615,9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780F0F80"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139906,5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3C83F26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24970,8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37EF13B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5813,2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Обеспечена деятельность 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35C70462"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23971,8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253A904F"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5580,6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4A1BB4D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99</w:t>
            </w:r>
            <w:r w:rsidR="005D60A8">
              <w:rPr>
                <w:rFonts w:ascii="Times New Roman" w:hAnsi="Times New Roman" w:cs="Times New Roman"/>
                <w:sz w:val="20"/>
                <w:szCs w:val="20"/>
              </w:rPr>
              <w:t>9</w:t>
            </w:r>
            <w:r>
              <w:rPr>
                <w:rFonts w:ascii="Times New Roman" w:hAnsi="Times New Roman" w:cs="Times New Roman"/>
                <w:sz w:val="20"/>
                <w:szCs w:val="20"/>
              </w:rPr>
              <w:t>,0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33F18F24"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232,6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691A15F7"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6433149,4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7E89B65F" w:rsidR="005434A8" w:rsidRDefault="000A2F5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1651007,2</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3CB36F1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775460,6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67A05D59"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257115,4</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023E97DE"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4684083,6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54774B7B"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1149880,6</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7F67D7F3"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973605,2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22FF447C"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244011,2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40BB81C7"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B27B0A">
        <w:rPr>
          <w:rFonts w:ascii="Times New Roman" w:hAnsi="Times New Roman" w:cs="Times New Roman"/>
          <w:sz w:val="28"/>
          <w:szCs w:val="28"/>
        </w:rPr>
        <w:t>280946,5</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1A53B0A5"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B27B0A">
        <w:rPr>
          <w:rFonts w:ascii="Times New Roman" w:hAnsi="Times New Roman" w:cs="Times New Roman"/>
          <w:sz w:val="28"/>
          <w:szCs w:val="28"/>
        </w:rPr>
        <w:t>278147,4</w:t>
      </w:r>
      <w:r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B12725"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64504,6</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55659C5B"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w:t>
      </w:r>
      <w:proofErr w:type="gramStart"/>
      <w:r w:rsidRPr="005C2414">
        <w:rPr>
          <w:rFonts w:ascii="Times New Roman" w:eastAsia="Times New Roman" w:hAnsi="Times New Roman" w:cs="Times New Roman"/>
          <w:sz w:val="28"/>
          <w:szCs w:val="28"/>
          <w:lang w:eastAsia="ru-RU"/>
        </w:rPr>
        <w:t>Таблицу  2</w:t>
      </w:r>
      <w:proofErr w:type="gramEnd"/>
      <w:r w:rsidRPr="005C2414">
        <w:rPr>
          <w:rFonts w:ascii="Times New Roman" w:eastAsia="Times New Roman" w:hAnsi="Times New Roman" w:cs="Times New Roman"/>
          <w:sz w:val="28"/>
          <w:szCs w:val="28"/>
          <w:lang w:eastAsia="ru-RU"/>
        </w:rPr>
        <w:t xml:space="preserve">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1016"/>
      </w:tblGrid>
      <w:tr w:rsidR="00AC1695" w:rsidRPr="00AC1695" w14:paraId="1C761CC4" w14:textId="77777777" w:rsidTr="00CF374E">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219"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CF374E">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1016"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CF374E">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1016"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CF374E">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1016"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B91BBA">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653B58C6"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64504,6</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1016"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CF374E">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B91BBA">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6C991765"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65149,8</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16"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lastRenderedPageBreak/>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3DA930C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275759,4</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42A8B07A" w:rsidR="00C325E2" w:rsidRPr="00D522A8" w:rsidRDefault="00AA5D7D" w:rsidP="00C325E2">
            <w:pPr>
              <w:spacing w:after="0"/>
              <w:jc w:val="center"/>
              <w:rPr>
                <w:rFonts w:ascii="Times New Roman" w:hAnsi="Times New Roman" w:cs="Times New Roman"/>
              </w:rPr>
            </w:pPr>
            <w:r>
              <w:rPr>
                <w:rFonts w:ascii="Times New Roman" w:hAnsi="Times New Roman" w:cs="Times New Roman"/>
              </w:rPr>
              <w:t>63310,6</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4A82379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275759,4</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475D315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63310,6</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 xml:space="preserve">Проведение районного </w:t>
            </w:r>
            <w:r>
              <w:rPr>
                <w:rFonts w:ascii="Times New Roman" w:hAnsi="Times New Roman" w:cs="Times New Roman"/>
              </w:rPr>
              <w:lastRenderedPageBreak/>
              <w:t>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lastRenderedPageBreak/>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w:t>
            </w:r>
            <w:r w:rsidRPr="00E44E19">
              <w:rPr>
                <w:rFonts w:ascii="Times New Roman" w:hAnsi="Times New Roman" w:cs="Times New Roman"/>
              </w:rPr>
              <w:lastRenderedPageBreak/>
              <w:t xml:space="preserve">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lastRenderedPageBreak/>
              <w:t>ЦДТ «Радуга»</w:t>
            </w:r>
          </w:p>
        </w:tc>
      </w:tr>
      <w:tr w:rsidR="00AF17A0" w:rsidRPr="00983E55" w14:paraId="6C71B1DC" w14:textId="77777777" w:rsidTr="00617379">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222184">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222184">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EB26A2">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w:t>
            </w:r>
            <w:r w:rsidRPr="00365974">
              <w:rPr>
                <w:rFonts w:ascii="Times New Roman" w:hAnsi="Times New Roman" w:cs="Times New Roman"/>
                <w:sz w:val="20"/>
                <w:szCs w:val="20"/>
              </w:rPr>
              <w:lastRenderedPageBreak/>
              <w:t>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lastRenderedPageBreak/>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 xml:space="preserve">Выполнены мероприятия по проектно-сметным работам, техническим экспертизам общеобразовательных </w:t>
            </w:r>
            <w:r w:rsidRPr="0090461A">
              <w:rPr>
                <w:rFonts w:ascii="Times New Roman" w:hAnsi="Times New Roman" w:cs="Times New Roman"/>
                <w:sz w:val="20"/>
                <w:szCs w:val="20"/>
              </w:rPr>
              <w:lastRenderedPageBreak/>
              <w:t>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lastRenderedPageBreak/>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EB26A2">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7F30A6FA"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280946,5</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0A863D6"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65149,8</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141182CF" w:rsidR="00EA31BA" w:rsidRPr="003E0590" w:rsidRDefault="00BF7B5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278147,4</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401DB217"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64504,6</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67E6A940"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0A2F5B">
        <w:rPr>
          <w:rFonts w:ascii="Times New Roman" w:eastAsia="Times New Roman" w:hAnsi="Times New Roman" w:cs="Times New Roman"/>
          <w:sz w:val="28"/>
          <w:szCs w:val="28"/>
          <w:lang w:eastAsia="ru-RU"/>
        </w:rPr>
        <w:t>683122,5</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0EEC0427"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0A2F5B">
        <w:rPr>
          <w:rFonts w:ascii="Times New Roman" w:hAnsi="Times New Roman" w:cs="Times New Roman"/>
          <w:sz w:val="28"/>
          <w:szCs w:val="28"/>
        </w:rPr>
        <w:t>100295,7</w:t>
      </w:r>
      <w:r w:rsidR="00754181">
        <w:rPr>
          <w:rFonts w:ascii="Times New Roman" w:hAnsi="Times New Roman" w:cs="Times New Roman"/>
          <w:sz w:val="28"/>
          <w:szCs w:val="28"/>
        </w:rPr>
        <w:t xml:space="preserve">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0A2D80FE"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4F59E8">
        <w:rPr>
          <w:rFonts w:ascii="Times New Roman" w:hAnsi="Times New Roman" w:cs="Times New Roman"/>
          <w:sz w:val="28"/>
          <w:szCs w:val="28"/>
        </w:rPr>
        <w:t>24420,8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1BDDBD1C"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0A2F5B">
        <w:rPr>
          <w:rFonts w:ascii="Times New Roman" w:hAnsi="Times New Roman" w:cs="Times New Roman"/>
          <w:sz w:val="28"/>
          <w:szCs w:val="28"/>
        </w:rPr>
        <w:t>582826,8</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02B22A7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0A2F5B">
        <w:rPr>
          <w:rFonts w:ascii="Times New Roman" w:hAnsi="Times New Roman" w:cs="Times New Roman"/>
          <w:sz w:val="28"/>
          <w:szCs w:val="28"/>
        </w:rPr>
        <w:t>166789,2</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1097"/>
      </w:tblGrid>
      <w:tr w:rsidR="002C3B02" w:rsidRPr="002C3B02" w14:paraId="60A03ED4" w14:textId="77777777" w:rsidTr="00EA3583">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579"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EA3583">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1097"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EA3583">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1097"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EA3583">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05938B56" w:rsidR="00D103AA" w:rsidRPr="00C07459" w:rsidRDefault="004F59E8" w:rsidP="00D103AA">
            <w:pPr>
              <w:jc w:val="center"/>
              <w:rPr>
                <w:rFonts w:ascii="Times New Roman" w:hAnsi="Times New Roman" w:cs="Times New Roman"/>
                <w:bCs/>
              </w:rPr>
            </w:pPr>
            <w:r>
              <w:rPr>
                <w:rFonts w:ascii="Times New Roman" w:hAnsi="Times New Roman" w:cs="Times New Roman"/>
                <w:bCs/>
              </w:rPr>
              <w:t>24420,8</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1097"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EA3583">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1A50EB3B" w:rsidR="00D103AA" w:rsidRPr="00C07459" w:rsidRDefault="000A2F5B" w:rsidP="00D103AA">
            <w:pPr>
              <w:jc w:val="center"/>
              <w:rPr>
                <w:rFonts w:ascii="Times New Roman" w:hAnsi="Times New Roman" w:cs="Times New Roman"/>
              </w:rPr>
            </w:pPr>
            <w:r>
              <w:rPr>
                <w:rFonts w:ascii="Times New Roman" w:hAnsi="Times New Roman" w:cs="Times New Roman"/>
              </w:rPr>
              <w:t>166789,2</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1097"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EA3583">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EA3583">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4B36A1FE" w:rsidR="00D103AA" w:rsidRPr="00C07459" w:rsidRDefault="000A2F5B" w:rsidP="00D103AA">
            <w:pPr>
              <w:jc w:val="center"/>
              <w:rPr>
                <w:rFonts w:ascii="Times New Roman" w:hAnsi="Times New Roman" w:cs="Times New Roman"/>
              </w:rPr>
            </w:pPr>
            <w:r>
              <w:rPr>
                <w:rFonts w:ascii="Times New Roman" w:hAnsi="Times New Roman" w:cs="Times New Roman"/>
              </w:rPr>
              <w:t>191210,0</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1097"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lastRenderedPageBreak/>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636D2E75" w:rsidR="0018345E" w:rsidRPr="00B8413E" w:rsidRDefault="007855DD" w:rsidP="0018345E">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4965B9CE" w:rsidR="0018345E" w:rsidRPr="00B8413E" w:rsidRDefault="007855DD"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01E68754"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662AE932"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3C1F25">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D32BC6">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CF2DCC">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46B28">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46B28">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1CA2E638"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67B68D41"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7089D2CC"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5D4A45D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04780D">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w:t>
            </w:r>
            <w:r>
              <w:rPr>
                <w:rFonts w:ascii="Times New Roman" w:hAnsi="Times New Roman" w:cs="Times New Roman"/>
                <w:sz w:val="20"/>
                <w:szCs w:val="20"/>
              </w:rPr>
              <w:lastRenderedPageBreak/>
              <w:t xml:space="preserve">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lastRenderedPageBreak/>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 xml:space="preserve">ривлечение                          в отрасль молодых </w:t>
            </w:r>
            <w:r w:rsidRPr="00BF25A8">
              <w:rPr>
                <w:rFonts w:ascii="Times New Roman" w:hAnsi="Times New Roman" w:cs="Times New Roman"/>
                <w:sz w:val="20"/>
                <w:szCs w:val="20"/>
              </w:rPr>
              <w:lastRenderedPageBreak/>
              <w:t>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04780D">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43FF35C4"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683122,5</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07EDB15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191210,0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0DD3D4C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w:t>
            </w:r>
            <w:r w:rsidR="00685F0D">
              <w:rPr>
                <w:rFonts w:ascii="Times New Roman" w:hAnsi="Times New Roman" w:cs="Times New Roman"/>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12957EBA"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5FFD89BC"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582826,8</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765D0A9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166789,2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F63D6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06B1D85F" w:rsidR="00215DBD" w:rsidRPr="00816AA8" w:rsidRDefault="00206791" w:rsidP="00215DBD">
            <w:pPr>
              <w:jc w:val="center"/>
              <w:rPr>
                <w:rFonts w:ascii="Times New Roman" w:eastAsia="Calibri"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275B9A48"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roofErr w:type="gramEnd"/>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59EA4" w14:textId="77777777" w:rsidR="004A59B5" w:rsidRDefault="004A59B5" w:rsidP="00CA7408">
      <w:pPr>
        <w:spacing w:after="0" w:line="240" w:lineRule="auto"/>
      </w:pPr>
      <w:r>
        <w:separator/>
      </w:r>
    </w:p>
  </w:endnote>
  <w:endnote w:type="continuationSeparator" w:id="0">
    <w:p w14:paraId="259A2CA7" w14:textId="77777777" w:rsidR="004A59B5" w:rsidRDefault="004A59B5"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B6753" w14:textId="77777777" w:rsidR="004A59B5" w:rsidRDefault="004A59B5" w:rsidP="00CA7408">
      <w:pPr>
        <w:spacing w:after="0" w:line="240" w:lineRule="auto"/>
      </w:pPr>
      <w:r>
        <w:separator/>
      </w:r>
    </w:p>
  </w:footnote>
  <w:footnote w:type="continuationSeparator" w:id="0">
    <w:p w14:paraId="04DDBE22" w14:textId="77777777" w:rsidR="004A59B5" w:rsidRDefault="004A59B5"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B2C3"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B91BBA" w:rsidRDefault="00B91BBA">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QGiwQ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End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C359" w14:textId="77777777" w:rsidR="00B91BBA" w:rsidRDefault="00B91BBA">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B91BBA" w:rsidRDefault="00B91B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17727"/>
      <w:docPartObj>
        <w:docPartGallery w:val="Page Numbers (Margins)"/>
        <w:docPartUnique/>
      </w:docPartObj>
    </w:sdtPr>
    <w:sdtEndPr/>
    <w:sdtContent>
      <w:p w14:paraId="3B391461" w14:textId="53BE0C9A" w:rsidR="00B91BBA" w:rsidRDefault="004A59B5">
        <w:pPr>
          <w:pStyle w:val="ab"/>
          <w:jc w:val="center"/>
        </w:pPr>
      </w:p>
    </w:sdtContent>
  </w:sdt>
  <w:p w14:paraId="17CFA715" w14:textId="3CF64BBC" w:rsidR="00B91BBA" w:rsidRDefault="00B91BBA">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368507"/>
      <w:docPartObj>
        <w:docPartGallery w:val="Page Numbers (Top of Page)"/>
        <w:docPartUnique/>
      </w:docPartObj>
    </w:sdtPr>
    <w:sdtEndPr/>
    <w:sdtContent>
      <w:p w14:paraId="2D17A3D3" w14:textId="09C4200E" w:rsidR="00B91BBA" w:rsidRDefault="00B91BBA">
        <w:pPr>
          <w:pStyle w:val="ab"/>
          <w:jc w:val="center"/>
        </w:pPr>
        <w:r>
          <w:fldChar w:fldCharType="begin"/>
        </w:r>
        <w:r>
          <w:instrText>PAGE   \* MERGEFORMAT</w:instrText>
        </w:r>
        <w:r>
          <w:fldChar w:fldCharType="separate"/>
        </w:r>
        <w:r>
          <w:t>2</w:t>
        </w:r>
        <w:r>
          <w:fldChar w:fldCharType="end"/>
        </w:r>
      </w:p>
    </w:sdtContent>
  </w:sdt>
  <w:p w14:paraId="647018C4" w14:textId="654557D3" w:rsidR="00B91BBA" w:rsidRPr="00101287" w:rsidRDefault="00B91BBA"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622F" w14:textId="12349B27" w:rsidR="00B91BBA" w:rsidRDefault="00B91BBA">
    <w:pPr>
      <w:pStyle w:val="ab"/>
      <w:jc w:val="center"/>
    </w:pPr>
  </w:p>
  <w:p w14:paraId="5EA9630A" w14:textId="45090C83" w:rsidR="00B91BBA" w:rsidRPr="00101287" w:rsidRDefault="00B91BBA"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128826"/>
      <w:docPartObj>
        <w:docPartGallery w:val="Page Numbers (Top of Page)"/>
        <w:docPartUnique/>
      </w:docPartObj>
    </w:sdtPr>
    <w:sdtEndPr/>
    <w:sdtContent>
      <w:p w14:paraId="2860D0BF" w14:textId="7C17C59D" w:rsidR="00B91BBA" w:rsidRDefault="00B91BBA">
        <w:pPr>
          <w:pStyle w:val="ab"/>
          <w:jc w:val="center"/>
        </w:pPr>
        <w:r>
          <w:fldChar w:fldCharType="begin"/>
        </w:r>
        <w:r>
          <w:instrText>PAGE   \* MERGEFORMAT</w:instrText>
        </w:r>
        <w:r>
          <w:fldChar w:fldCharType="separate"/>
        </w:r>
        <w:r>
          <w:t>2</w:t>
        </w:r>
        <w:r>
          <w:fldChar w:fldCharType="end"/>
        </w:r>
      </w:p>
    </w:sdtContent>
  </w:sdt>
  <w:p w14:paraId="71FB34DA" w14:textId="356CC225"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23F6"/>
    <w:rsid w:val="0048439E"/>
    <w:rsid w:val="0048715D"/>
    <w:rsid w:val="00487934"/>
    <w:rsid w:val="00490EEE"/>
    <w:rsid w:val="004910C5"/>
    <w:rsid w:val="00491350"/>
    <w:rsid w:val="004944B9"/>
    <w:rsid w:val="00495D88"/>
    <w:rsid w:val="004964F8"/>
    <w:rsid w:val="0049665E"/>
    <w:rsid w:val="004968BE"/>
    <w:rsid w:val="004A01AB"/>
    <w:rsid w:val="004A4326"/>
    <w:rsid w:val="004A59B5"/>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9A"/>
    <w:rsid w:val="005C14A6"/>
    <w:rsid w:val="005C2414"/>
    <w:rsid w:val="005C29B8"/>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C6B"/>
    <w:rsid w:val="00675DDC"/>
    <w:rsid w:val="00676100"/>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3C5E"/>
    <w:rsid w:val="00754181"/>
    <w:rsid w:val="00754A86"/>
    <w:rsid w:val="00756F33"/>
    <w:rsid w:val="00757C72"/>
    <w:rsid w:val="00761029"/>
    <w:rsid w:val="007614B5"/>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427DB"/>
    <w:rsid w:val="0085029C"/>
    <w:rsid w:val="00851124"/>
    <w:rsid w:val="00851614"/>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0C3"/>
    <w:rsid w:val="008D7FC5"/>
    <w:rsid w:val="008E5203"/>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900"/>
    <w:rsid w:val="00B56F21"/>
    <w:rsid w:val="00B57F89"/>
    <w:rsid w:val="00B6361A"/>
    <w:rsid w:val="00B63764"/>
    <w:rsid w:val="00B63A60"/>
    <w:rsid w:val="00B63CCD"/>
    <w:rsid w:val="00B63F49"/>
    <w:rsid w:val="00B64A22"/>
    <w:rsid w:val="00B6791B"/>
    <w:rsid w:val="00B700FE"/>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6771</Words>
  <Characters>38598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Татьяна Тимченко</cp:lastModifiedBy>
  <cp:revision>2</cp:revision>
  <cp:lastPrinted>2026-01-21T08:47:00Z</cp:lastPrinted>
  <dcterms:created xsi:type="dcterms:W3CDTF">2026-04-29T07:44:00Z</dcterms:created>
  <dcterms:modified xsi:type="dcterms:W3CDTF">2026-04-29T07:44:00Z</dcterms:modified>
</cp:coreProperties>
</file>