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0"/>
        </w:tabs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Алгоритм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регистрации в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новой версии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еестра курортного фонда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>
      <w:pPr>
        <w:tabs>
          <w:tab w:val="left" w:pos="3120"/>
        </w:tabs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(далее </w:t>
      </w: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b/>
          <w:bCs/>
          <w:spacing w:val="-6"/>
          <w:sz w:val="28"/>
          <w:szCs w:val="28"/>
          <w:highlight w:val="none"/>
          <w:lang w:val="ru-RU"/>
        </w:rPr>
        <w:t xml:space="preserve"> Реестр)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для организаций санаторно-курортного комплекса</w:t>
      </w:r>
    </w:p>
    <w:p>
      <w:pPr>
        <w:tabs>
          <w:tab w:val="left" w:pos="3120"/>
        </w:tabs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(далее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СКО)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>
      <w:pPr>
        <w:tabs>
          <w:tab w:val="left" w:pos="3120"/>
        </w:tabs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Скачать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расширенное руководство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пользователя «Руководство пользователя. Регистратор»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к данному алгоритму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можно на официальном портале Единой государственной информационной системе в сфере здравоохранения (далее также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ЕГИСЗ, Система) в разделе «Материалы»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«Актуальные материалы»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блок «ЛК ЕГИСЗ. Руководство пользователя. Регистратор» по ссылке: </w:t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instrText xml:space="preserve"> HYPERLINK "https://portal.egisz.rosminzdrav.ru/materials/4839" </w:instrText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  <w:lang w:val="ru-RU"/>
        </w:rPr>
        <w:t>https://portal.egisz.rosminzdrav.ru/materials/4839</w:t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(далее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электронное Руководство пользователя).</w:t>
      </w:r>
    </w:p>
    <w:p>
      <w:pPr>
        <w:tabs>
          <w:tab w:val="left" w:pos="3120"/>
        </w:tabs>
        <w:spacing w:line="240" w:lineRule="auto"/>
        <w:ind w:left="0" w:leftChars="0" w:firstLine="688" w:firstLineChars="257"/>
        <w:jc w:val="both"/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</w:pPr>
    </w:p>
    <w:p>
      <w:pPr>
        <w:keepNext w:val="0"/>
        <w:keepLines w:val="0"/>
        <w:pageBreakBefore w:val="0"/>
        <w:widowControl/>
        <w:tabs>
          <w:tab w:val="left" w:pos="3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257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Шаг 1.</w:t>
      </w:r>
    </w:p>
    <w:p>
      <w:pPr>
        <w:tabs>
          <w:tab w:val="left" w:pos="3120"/>
        </w:tabs>
        <w:spacing w:line="240" w:lineRule="auto"/>
        <w:ind w:left="0" w:leftChars="0" w:firstLine="720" w:firstLine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Toc212027296"/>
      <w:r>
        <w:rPr>
          <w:rFonts w:hint="default" w:ascii="Times New Roman" w:hAnsi="Times New Roman" w:cs="Times New Roman"/>
          <w:b/>
          <w:bCs/>
          <w:sz w:val="28"/>
          <w:szCs w:val="28"/>
        </w:rPr>
        <w:t>Порядок получения доступа в Систему</w:t>
      </w:r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предоставления доступа в Систему через ЕСИА 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ользователя должна быть подтвержденная учетная запись на ЕПГУ по адресу: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8"/>
          <w:rFonts w:hint="default" w:ascii="Times New Roman" w:hAnsi="Times New Roman" w:cs="Times New Roman"/>
          <w:sz w:val="28"/>
          <w:szCs w:val="28"/>
        </w:rPr>
        <w:instrText xml:space="preserve"> HYPERLINK "https://www.gosuslugi.ru/" </w:instrText>
      </w:r>
      <w:r>
        <w:rPr>
          <w:rStyle w:val="8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>https://www.gosuslugi.ru/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, а также должен быть получен доступ к веб-интерфейсу Системы.</w:t>
      </w:r>
    </w:p>
    <w:p>
      <w:pPr>
        <w:pStyle w:val="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получения доступа к Системе руководителю организации или уполномоченному лицу, имеющего машиночитаемую доверенность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*</w:t>
      </w:r>
      <w:r>
        <w:rPr>
          <w:rFonts w:hint="default"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далее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МЧД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),</w:t>
      </w:r>
      <w:r>
        <w:rPr>
          <w:rFonts w:hint="default" w:ascii="Times New Roman" w:hAnsi="Times New Roman" w:cs="Times New Roman"/>
          <w:sz w:val="28"/>
          <w:szCs w:val="28"/>
        </w:rPr>
        <w:t xml:space="preserve"> с полномочием на подачу заявок на предоставление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</w:t>
      </w:r>
      <w:r>
        <w:rPr>
          <w:rFonts w:hint="default" w:ascii="Times New Roman" w:hAnsi="Times New Roman" w:cs="Times New Roman"/>
          <w:sz w:val="28"/>
          <w:szCs w:val="28"/>
        </w:rPr>
        <w:t>отзыв доступа (подписанную руководителем организации) необходимо пройти процедуру регистрации в ЛК ЕГИСЗ на получение полномочия «Регистратор».</w:t>
      </w:r>
    </w:p>
    <w:p>
      <w:pPr>
        <w:pStyle w:val="3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*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Оформить МЧД на сотрудника организации возможно с помощью государственных сервисов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по формированию МЧД, например,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на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ЕПГУ: </w:t>
      </w:r>
      <w:r>
        <w:rPr>
          <w:rStyle w:val="8"/>
          <w:rFonts w:hint="default" w:ascii="Times New Roman" w:hAnsi="Times New Roman" w:cs="Times New Roman"/>
          <w:i/>
          <w:iCs/>
          <w:sz w:val="28"/>
          <w:szCs w:val="28"/>
          <w:u w:val="none"/>
        </w:rPr>
        <w:t>https://partners.gosuslugi.ru/catalog/attorney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. Код и наименование полномочия, которые необходимо указать в МЧД – «EGISZ_LK_01» и «Подача заявок на предоставление (отзыв) доступа к подсистемам (компонентам) ЕГИСЗ» соответственно.</w:t>
      </w: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Чтобы войти в Систему необходим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  <w:t>о:</w:t>
      </w:r>
    </w:p>
    <w:p>
      <w:pPr>
        <w:pStyle w:val="3"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</w:p>
    <w:p>
      <w:pPr>
        <w:numPr>
          <w:ilvl w:val="0"/>
          <w:numId w:val="0"/>
        </w:numPr>
        <w:ind w:left="0" w:leftChars="0" w:firstLine="719" w:firstLineChars="257"/>
        <w:jc w:val="both"/>
        <w:rPr>
          <w:rStyle w:val="8"/>
          <w:rFonts w:hint="default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1.1 А</w:t>
      </w:r>
      <w:r>
        <w:rPr>
          <w:rFonts w:hint="default" w:ascii="Times New Roman" w:hAnsi="Times New Roman" w:cs="Times New Roman"/>
          <w:sz w:val="28"/>
          <w:szCs w:val="28"/>
        </w:rPr>
        <w:t xml:space="preserve">вторизоваться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личном кабинете</w:t>
      </w:r>
      <w:r>
        <w:rPr>
          <w:rFonts w:hint="default" w:ascii="Times New Roman" w:hAnsi="Times New Roman" w:cs="Times New Roman"/>
          <w:sz w:val="28"/>
          <w:szCs w:val="28"/>
        </w:rPr>
        <w:t xml:space="preserve"> ЕГИСЗ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(далее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ЛК ЕГИСЗ)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 учетной записью ЕСИ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(как физическое лицо).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Для входа в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ЛК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ЕГИСЗ напрямую необходимо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перейти по ссылке </w:t>
      </w:r>
      <w:r>
        <w:rPr>
          <w:rStyle w:val="8"/>
          <w:rFonts w:hint="default"/>
          <w:lang w:val="en-US" w:eastAsia="zh-CN"/>
        </w:rPr>
        <w:fldChar w:fldCharType="begin"/>
      </w:r>
      <w:r>
        <w:rPr>
          <w:rStyle w:val="8"/>
          <w:rFonts w:hint="default"/>
          <w:lang w:val="en-US" w:eastAsia="zh-CN"/>
        </w:rPr>
        <w:instrText xml:space="preserve"> HYPERLINK "https://lk.egisz.rosminzdrav.ru/" </w:instrText>
      </w:r>
      <w:r>
        <w:rPr>
          <w:rStyle w:val="8"/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https://lk.egisz.rosminzdrav.ru/</w:t>
      </w:r>
      <w:r>
        <w:rPr>
          <w:rStyle w:val="8"/>
          <w:rFonts w:hint="default"/>
          <w:lang w:val="en-US" w:eastAsia="zh-CN"/>
        </w:rPr>
        <w:fldChar w:fldCharType="end"/>
      </w:r>
      <w:r>
        <w:rPr>
          <w:rStyle w:val="8"/>
          <w:rFonts w:hint="default"/>
          <w:lang w:val="ru-RU" w:eastAsia="zh-CN"/>
        </w:rPr>
        <w:t xml:space="preserve"> </w:t>
      </w:r>
    </w:p>
    <w:p>
      <w:pPr>
        <w:numPr>
          <w:ilvl w:val="0"/>
          <w:numId w:val="0"/>
        </w:num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1.2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 экране отобразится форма авторизации ЕСИА для ввода учетных данных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 Заполните форму и войдите.</w:t>
      </w:r>
    </w:p>
    <w:p>
      <w:pPr>
        <w:numPr>
          <w:ilvl w:val="0"/>
          <w:numId w:val="0"/>
        </w:numPr>
        <w:ind w:left="14" w:leftChars="6" w:firstLine="702" w:firstLineChars="251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1.3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После ввода учетных данных и нажатия на кнопку «Войти» пользователю отобразится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форма запроса контактных данных (для пользователя,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который ранее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en-US" w:eastAsia="zh-CN"/>
        </w:rPr>
        <w:t>не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был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зарегистрирован в реестре «Реестр пользователей ЕГИСЗ и их полномочий» ЛК ЕГИСЗ). Необходимо ввести свои контактные данные и нажать «Подтвердить», после чего отобразится стартовая страница ЛК ЕГИСЗ для активации работы с заявками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1.4 Выбрать значок «Профиль» в правом верхнем углу страницы.</w:t>
      </w:r>
    </w:p>
    <w:p>
      <w:pPr>
        <w:numPr>
          <w:ilvl w:val="0"/>
          <w:numId w:val="0"/>
        </w:numPr>
        <w:ind w:left="17" w:leftChars="7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1.5 Нажмите строку «Доверенности и доступы» слева страницы и далее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>«Доверенности и доступы» посередине страницы.</w:t>
      </w:r>
    </w:p>
    <w:p>
      <w:pPr>
        <w:numPr>
          <w:ilvl w:val="0"/>
          <w:numId w:val="0"/>
        </w:numPr>
        <w:ind w:left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>
      <w:pPr>
        <w:numPr>
          <w:ilvl w:val="0"/>
          <w:numId w:val="0"/>
        </w:numPr>
        <w:ind w:leftChars="257"/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Шаг 2.</w:t>
      </w:r>
    </w:p>
    <w:p>
      <w:pPr>
        <w:numPr>
          <w:ilvl w:val="0"/>
          <w:numId w:val="0"/>
        </w:numPr>
        <w:ind w:left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 xml:space="preserve">Порядок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 xml:space="preserve">регистрации </w:t>
      </w:r>
    </w:p>
    <w:p>
      <w:pPr>
        <w:numPr>
          <w:ilvl w:val="0"/>
          <w:numId w:val="0"/>
        </w:numPr>
        <w:ind w:left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в качестве «Регистратора»*:</w:t>
      </w:r>
    </w:p>
    <w:p>
      <w:pPr>
        <w:tabs>
          <w:tab w:val="left" w:pos="3120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 w:eastAsia="zh-CN"/>
        </w:rPr>
      </w:pPr>
    </w:p>
    <w:p>
      <w:pPr>
        <w:numPr>
          <w:ilvl w:val="0"/>
          <w:numId w:val="0"/>
        </w:numPr>
        <w:tabs>
          <w:tab w:val="left" w:pos="480"/>
        </w:tabs>
        <w:ind w:left="0" w:leftChars="0" w:firstLine="718" w:firstLineChars="268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>2.1 Вы находитесь на странице сайта «Доверенности и доступы» (Шаг 1, п 1.5 данной инструкции). Выбираете один из подходящих именно вашей организации вариантов загрузки документов:</w:t>
      </w:r>
    </w:p>
    <w:p>
      <w:pPr>
        <w:keepNext w:val="0"/>
        <w:keepLines w:val="0"/>
        <w:widowControl/>
        <w:suppressLineNumbers w:val="0"/>
        <w:ind w:left="0" w:leftChars="0" w:firstLine="718" w:firstLineChars="268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руководителя организации / индивидуального предпринимателя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необходимо выбрать вариант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загрузки сертификата ключа проверки ЭП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юридического лица или индивидуального предпринимателя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;</w:t>
      </w:r>
    </w:p>
    <w:p>
      <w:pPr>
        <w:keepNext w:val="0"/>
        <w:keepLines w:val="0"/>
        <w:widowControl/>
        <w:suppressLineNumbers w:val="0"/>
        <w:ind w:left="0" w:leftChars="0" w:firstLine="718" w:firstLineChars="26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лица организации, уполномоченного 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 подачу заявок 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предоставление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(отзыв) доступа к подсистемам (компонентам) ЕГИСЗ,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необходимо выбрать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вариант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загрузки МЧД, подписанной УКЭП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руководителя организации, и сертификата ключа проверки ЭП физического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лица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>;</w:t>
      </w:r>
    </w:p>
    <w:p>
      <w:pPr>
        <w:keepNext w:val="0"/>
        <w:keepLines w:val="0"/>
        <w:widowControl/>
        <w:suppressLineNumbers w:val="0"/>
        <w:ind w:left="0" w:leftChars="0" w:firstLine="718" w:firstLineChars="268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руководителя организации, от лица которой действовать без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доверенности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имеет право управляющая организация (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согласно ЕГРЮЛ),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необходимо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выбрать вариант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загрузки МЧД, подписанной УКЭП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руководителя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управляющей организации, и сертификата ключа проверки ЭП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юридического лица.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single"/>
          <w:lang w:val="ru-RU" w:eastAsia="zh-CN" w:bidi="ar"/>
        </w:rPr>
      </w:pPr>
    </w:p>
    <w:p>
      <w:pPr>
        <w:tabs>
          <w:tab w:val="left" w:pos="3120"/>
        </w:tabs>
        <w:spacing w:line="240" w:lineRule="auto"/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 w:eastAsia="zh-CN"/>
        </w:rPr>
        <w:t>*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 w:eastAsia="zh-CN"/>
        </w:rPr>
        <w:t>Полномочие «Регистратор» в ЛК ЕГИСЗ может быть присвоено руководителю организации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 w:eastAsia="zh-CN"/>
        </w:rPr>
        <w:t>/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 w:eastAsia="zh-CN"/>
        </w:rPr>
        <w:t>индивидуальному предпринимателю или лицу организации, имеющему МЧД с полномочием на подачу заявок на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en-US" w:eastAsia="zh-CN"/>
        </w:rPr>
        <w:t>предоставление (отзыв) доступа к подсистемам (компонентам) ЕГИСЗ (подписанную единоличным руководителем организации)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 w:eastAsia="zh-CN"/>
        </w:rPr>
        <w:t xml:space="preserve"> (подробнее в файле </w:t>
      </w:r>
      <w:r>
        <w:rPr>
          <w:rFonts w:hint="default" w:ascii="Times New Roman" w:hAnsi="Times New Roman" w:cs="Times New Roman"/>
          <w:i/>
          <w:iCs/>
          <w:spacing w:val="-6"/>
          <w:sz w:val="28"/>
          <w:szCs w:val="28"/>
          <w:highlight w:val="none"/>
          <w:lang w:val="ru-RU"/>
        </w:rPr>
        <w:t>электронного Руководства пользователя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 xml:space="preserve"> (стр. 23-39, п. 4.2 - 4.2.3).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imSun" w:hAnsi="SimSun" w:eastAsia="SimSun" w:cs="SimSun"/>
          <w:color w:val="000000"/>
          <w:kern w:val="0"/>
          <w:sz w:val="24"/>
          <w:szCs w:val="24"/>
          <w:lang w:val="ru-RU" w:eastAsia="zh-CN" w:bidi="ar"/>
        </w:rPr>
      </w:pPr>
    </w:p>
    <w:p>
      <w:pPr>
        <w:numPr>
          <w:ilvl w:val="0"/>
          <w:numId w:val="0"/>
        </w:numPr>
        <w:ind w:left="0" w:leftChars="0" w:firstLine="719" w:firstLineChars="257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2.2 Загрузить требующийся пакет документов (для каждого варианта загрузки документов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свой). Описание решения ошибок, которые могут возникнуть при загрузке документов для каждого варианта, доступно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 w:eastAsia="zh-CN"/>
        </w:rPr>
        <w:t xml:space="preserve">в файле </w:t>
      </w:r>
      <w:r>
        <w:rPr>
          <w:rFonts w:hint="default" w:ascii="Times New Roman" w:hAnsi="Times New Roman" w:cs="Times New Roman"/>
          <w:i w:val="0"/>
          <w:iCs w:val="0"/>
          <w:spacing w:val="-6"/>
          <w:sz w:val="28"/>
          <w:szCs w:val="28"/>
          <w:highlight w:val="none"/>
          <w:lang w:val="ru-RU"/>
        </w:rPr>
        <w:t>электронного Руководства пользователя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 (стр. 23-39, п. 4.2 - 4.2.3).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2.3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После успешного прохождения проверок загруженных документов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отображается заявка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 предоставление доступа к ЛК ЕГИСЗ с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по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лномочием «Регистратор»,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сформированная на основании загруженных файлов и сведений о пользователе из учетной записи. Необходимо проверить корректность отображаемых данных и при необходимости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заполнить / отредактировать сведения о регионе, должности и контактах, после чего нажать кнопку «Сохранить». 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 xml:space="preserve">!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  <w:t>В случае необходимости сформировать заявку заново, есть возможность удалить текущий черновик заявки (кнопка «Удалить» в блоке «Действия»),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  <w:t xml:space="preserve"> 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 w:eastAsia="zh-CN"/>
        </w:rPr>
        <w:t>вернуться на страницу активации работы и загрузить документы заново.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 w:eastAsia="zh-CN"/>
        </w:rPr>
      </w:pP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2.4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После сохранения заявки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подписать заявку можно 2-мя способами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: 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подписать заявку в ЛК ЕГИСЗ в браузере клиента с использованием КриптоПро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 w:eastAsia="zh-CN"/>
        </w:rPr>
        <w:t>: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выполнить действие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«Подписать», после чего откроется модальное окно с информацией о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необходимости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о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подтверждения доступа КриптоПро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;</w:t>
      </w:r>
    </w:p>
    <w:p>
      <w:pPr>
        <w:ind w:left="0" w:leftChars="0" w:firstLine="688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осле подтверждения отобразится страница для подписания документа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На странице с подписанием доступны две вкладки для просмотра подписываемых данных: «Печатная форма» – где отображается печатная форма заявки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«Подписываемые данные» – где отображается заявка в формате XML. </w:t>
      </w:r>
    </w:p>
    <w:p>
      <w:pPr>
        <w:ind w:left="0" w:leftChars="0" w:firstLine="688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ля подписания необходимо выбрать сертификат в соответствующем блоке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(находясь на любой вкладке) и нажать «Подписать»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;</w:t>
      </w:r>
    </w:p>
    <w:p>
      <w:pPr>
        <w:ind w:left="0" w:leftChars="0" w:firstLine="688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алее в открывшемся модальном окне «Аутентификация – КриптоПро CSP» необходимо ввести пароль и нажать кнопку «ОК»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;</w:t>
      </w:r>
    </w:p>
    <w:p>
      <w:pPr>
        <w:ind w:left="0" w:leftChars="0" w:firstLine="688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осле подписания документа ЭП отобразится сообщение с информацией об успешном принятии заявки на назначение полномочий по работе с заявками на предоставление (отзыв) доступа к подсистемам (компонентам) ЕГИСЗ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;</w:t>
      </w:r>
    </w:p>
    <w:p>
      <w:pPr>
        <w:ind w:left="0" w:leftChars="0" w:firstLine="688" w:firstLineChars="257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>–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 результатам рассмотрения заявки на предоставление доступа к ЛК ЕГИСЗ с полномочием «Регистратор» будет направлено решение на электронную почту не позднее 3 рабочих дней. До тех пор, пока заявка находится в обработке на главной станице модуля «Мой ЕГИСЗ» на панели ЛК будет отображаться соответствующий индикатор (i) и информационное сообщение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</w:p>
    <w:p>
      <w:pPr>
        <w:numPr>
          <w:ilvl w:val="0"/>
          <w:numId w:val="3"/>
        </w:num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 w:eastAsia="zh-CN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сущес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твить выгрузку XML-файла заявки для подписания ее ЭП сторонними сервисами (вне ЛК ЕГИСЗ)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 загрузку файла подписи документа в ЛК ЕГИСЗ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 xml:space="preserve"> Для 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дписани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заявки сторонними сервисами и загрузк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файла подписи заявки в ЛК ЕГИСЗ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перейдите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электронное Руководство пользователя (стр. 48, п. 4.2.5.2) с описанием алгоритма загрузки документов и решения возможных ошибок при загрузке.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720" w:firstLine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Шаг 3.</w:t>
      </w:r>
    </w:p>
    <w:p>
      <w:pPr>
        <w:ind w:left="0" w:leftChars="0" w:firstLine="720" w:firstLine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Дальнейшая работа.</w:t>
      </w:r>
    </w:p>
    <w:p>
      <w:pPr>
        <w:ind w:left="0" w:leftChars="0" w:firstLine="720" w:firstLineChars="25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>Для дальнейшей работы внутри Системы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в рамках работы с заявками на  предоставление (отзыв) доступа, а также с реестром «Реестр пользователей ЕГИСЗ и их полномочия» (например предоставление «Регистратором» некоторых полномочий «Оператору») в случае получения положительного результата рассмотрения заявки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>продолжайте пользоваться электронным Руководством пользователя со стр. 50.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Для дальнейшей работы в рамках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 xml:space="preserve">автоматизации процессов управления оказанием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>санаторно-курортного лечения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в федеральных санаторно-курортных учреждениях, а также контроля эффективности выполнения указанных процессов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автоматизации процессов сбора, обработки и анализа данных о пациентах, проходящих лечение в федеральных санаторно-курортных организациях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просим использовать расширенное руководство пользователя «Пользователь санаторно-курортная организации. Руководство пользователя», которое можно найти на официальном портале ЕГИСЗ в разделе «Материалы»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–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«Актуальные материалы»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</w:rPr>
        <w:t>–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блок «СКЛ. Руководство пользователя. Пользователь СКО» по ссылке: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fldChar w:fldCharType="begin"/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instrText xml:space="preserve"> HYPERLINK "https://portal.egisz.rosminzdrav.ru/materials/3615" </w:instrTex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fldChar w:fldCharType="separate"/>
      </w:r>
      <w:r>
        <w:rPr>
          <w:rStyle w:val="6"/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>https://portal.egisz.rosminzdrav.ru/materials/3615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fldChar w:fldCharType="end"/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.</w:t>
      </w:r>
    </w:p>
    <w:p>
      <w:pPr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При возникновении вопросов, проблем или прерывании работы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истемы Вы можете круглосуточно обращаться за помощью в службу технической поддержки ЕГИСЗ. Для этого необходимо нажать на кнопку «Написать в службу поддержки» (кнопка расположена внизу страницы)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по ссылке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instrText xml:space="preserve"> HYPERLINK "https://portal.egisz.rosminzdrav.ru/support" </w:instrTex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t>https://portal.egisz.rosminzdrav.ru/support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или обратиться с вопросом по номеру телефона  8 800 301-15-59 или по адресу электронной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почты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instrText xml:space="preserve"> HYPERLINK "mailto:egisz@stp-egisz.ru" </w:instrTex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Style w:val="8"/>
          <w:rFonts w:hint="default" w:ascii="Times New Roman" w:hAnsi="Times New Roman" w:cs="Times New Roman"/>
          <w:sz w:val="28"/>
          <w:szCs w:val="28"/>
          <w:lang w:val="ru-RU"/>
        </w:rPr>
        <w:t>egisz@stp-egisz.ru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.</w:t>
      </w:r>
    </w:p>
    <w:sectPr>
      <w:pgSz w:w="11906" w:h="16838"/>
      <w:pgMar w:top="1134" w:right="567" w:bottom="1134" w:left="1701" w:header="0" w:footer="0" w:gutter="0"/>
      <w:pgNumType w:fmt="decimal"/>
      <w:cols w:space="0" w:num="1"/>
      <w:formProt w:val="0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BC6D2"/>
    <w:multiLevelType w:val="singleLevel"/>
    <w:tmpl w:val="FB9BC6D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45A40CA"/>
    <w:multiLevelType w:val="multilevel"/>
    <w:tmpl w:val="545A40CA"/>
    <w:lvl w:ilvl="0" w:tentative="0">
      <w:start w:val="1"/>
      <w:numFmt w:val="bullet"/>
      <w:pStyle w:val="16"/>
      <w:lvlText w:val=""/>
      <w:lvlJc w:val="left"/>
      <w:pPr>
        <w:ind w:left="1134" w:hanging="425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559" w:hanging="425"/>
      </w:pPr>
      <w:rPr>
        <w:rFonts w:hint="default" w:ascii="Symbol" w:hAnsi="Symbol"/>
      </w:rPr>
    </w:lvl>
    <w:lvl w:ilvl="2" w:tentative="0">
      <w:start w:val="1"/>
      <w:numFmt w:val="bullet"/>
      <w:lvlText w:val=""/>
      <w:lvlJc w:val="left"/>
      <w:pPr>
        <w:ind w:left="1984" w:hanging="425"/>
      </w:pPr>
      <w:rPr>
        <w:rFonts w:hint="default" w:ascii="Symbol" w:hAnsi="Symbol"/>
      </w:rPr>
    </w:lvl>
    <w:lvl w:ilvl="3" w:tentative="0">
      <w:start w:val="1"/>
      <w:numFmt w:val="bullet"/>
      <w:lvlText w:val=""/>
      <w:lvlJc w:val="left"/>
      <w:pPr>
        <w:ind w:left="2409" w:hanging="425"/>
      </w:pPr>
      <w:rPr>
        <w:rFonts w:hint="default" w:ascii="Symbol" w:hAnsi="Symbol"/>
      </w:rPr>
    </w:lvl>
    <w:lvl w:ilvl="4" w:tentative="0">
      <w:start w:val="1"/>
      <w:numFmt w:val="bullet"/>
      <w:lvlText w:val=""/>
      <w:lvlJc w:val="left"/>
      <w:pPr>
        <w:ind w:left="2834" w:hanging="425"/>
      </w:pPr>
      <w:rPr>
        <w:rFonts w:hint="default" w:ascii="Symbol" w:hAnsi="Symbol"/>
      </w:rPr>
    </w:lvl>
    <w:lvl w:ilvl="5" w:tentative="0">
      <w:start w:val="1"/>
      <w:numFmt w:val="bullet"/>
      <w:lvlText w:val=""/>
      <w:lvlJc w:val="left"/>
      <w:pPr>
        <w:ind w:left="3259" w:hanging="425"/>
      </w:pPr>
      <w:rPr>
        <w:rFonts w:hint="default" w:ascii="Symbol" w:hAnsi="Symbol"/>
      </w:rPr>
    </w:lvl>
    <w:lvl w:ilvl="6" w:tentative="0">
      <w:start w:val="1"/>
      <w:numFmt w:val="bullet"/>
      <w:lvlText w:val=""/>
      <w:lvlJc w:val="left"/>
      <w:pPr>
        <w:ind w:left="3684" w:hanging="425"/>
      </w:pPr>
      <w:rPr>
        <w:rFonts w:hint="default" w:ascii="Symbol" w:hAnsi="Symbol"/>
      </w:rPr>
    </w:lvl>
    <w:lvl w:ilvl="7" w:tentative="0">
      <w:start w:val="1"/>
      <w:numFmt w:val="bullet"/>
      <w:lvlText w:val=""/>
      <w:lvlJc w:val="left"/>
      <w:pPr>
        <w:ind w:left="4109" w:hanging="425"/>
      </w:pPr>
      <w:rPr>
        <w:rFonts w:hint="default" w:ascii="Symbol" w:hAnsi="Symbol"/>
      </w:rPr>
    </w:lvl>
    <w:lvl w:ilvl="8" w:tentative="0">
      <w:start w:val="1"/>
      <w:numFmt w:val="bullet"/>
      <w:lvlText w:val=""/>
      <w:lvlJc w:val="left"/>
      <w:pPr>
        <w:ind w:left="4534" w:hanging="425"/>
      </w:pPr>
      <w:rPr>
        <w:rFonts w:hint="default" w:ascii="Symbol" w:hAnsi="Symbol"/>
      </w:rPr>
    </w:lvl>
  </w:abstractNum>
  <w:abstractNum w:abstractNumId="2">
    <w:nsid w:val="6C956B88"/>
    <w:multiLevelType w:val="multilevel"/>
    <w:tmpl w:val="6C956B88"/>
    <w:lvl w:ilvl="0" w:tentative="0">
      <w:start w:val="1"/>
      <w:numFmt w:val="decimal"/>
      <w:suff w:val="space"/>
      <w:lvlText w:val="%1"/>
      <w:lvlJc w:val="left"/>
      <w:pPr>
        <w:ind w:left="992" w:hanging="283"/>
      </w:pPr>
      <w:rPr>
        <w:rFonts w:hint="default"/>
        <w:b/>
        <w:i w:val="0"/>
        <w:color w:val="auto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283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992" w:hanging="283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992" w:hanging="283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992" w:hanging="283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992" w:hanging="283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992" w:hanging="283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992" w:hanging="283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992" w:hanging="2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9"/>
  <w:autoHyphenation/>
  <w:hyphenationZone w:val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1FBFFDCA"/>
    <w:rsid w:val="39EBFE90"/>
    <w:rsid w:val="549B1F01"/>
    <w:rsid w:val="57DBACEA"/>
    <w:rsid w:val="57FD1030"/>
    <w:rsid w:val="5F5FDEA9"/>
    <w:rsid w:val="5F751DF1"/>
    <w:rsid w:val="5FFA0BFD"/>
    <w:rsid w:val="5FFFA53E"/>
    <w:rsid w:val="67ED62FC"/>
    <w:rsid w:val="68FFCCC5"/>
    <w:rsid w:val="6BC3B60A"/>
    <w:rsid w:val="6DFE923A"/>
    <w:rsid w:val="6EEFA3E3"/>
    <w:rsid w:val="6FFFEC1E"/>
    <w:rsid w:val="78FCC4C3"/>
    <w:rsid w:val="7B9C63DE"/>
    <w:rsid w:val="7C6DB874"/>
    <w:rsid w:val="7DA59CA8"/>
    <w:rsid w:val="7DB3CA77"/>
    <w:rsid w:val="7E4F0310"/>
    <w:rsid w:val="7ED81A1C"/>
    <w:rsid w:val="7FD99F3E"/>
    <w:rsid w:val="7FDFAE09"/>
    <w:rsid w:val="7FEFED37"/>
    <w:rsid w:val="8FCF271C"/>
    <w:rsid w:val="ADF779FF"/>
    <w:rsid w:val="AFD7F76A"/>
    <w:rsid w:val="BB610A2B"/>
    <w:rsid w:val="BB7E41C0"/>
    <w:rsid w:val="BB7EBCC2"/>
    <w:rsid w:val="BE67B2C3"/>
    <w:rsid w:val="BEBF69BF"/>
    <w:rsid w:val="BEF75054"/>
    <w:rsid w:val="BF7F5063"/>
    <w:rsid w:val="C4BEE37C"/>
    <w:rsid w:val="CFCBFAD9"/>
    <w:rsid w:val="D6BFF67D"/>
    <w:rsid w:val="D91FE2CF"/>
    <w:rsid w:val="DDE86FF1"/>
    <w:rsid w:val="DEDFEE75"/>
    <w:rsid w:val="ECA7E796"/>
    <w:rsid w:val="EF3D32B9"/>
    <w:rsid w:val="EFED3ABE"/>
    <w:rsid w:val="EFEFC024"/>
    <w:rsid w:val="F4AD7407"/>
    <w:rsid w:val="F7F57BF8"/>
    <w:rsid w:val="F9CD3DD0"/>
    <w:rsid w:val="FF763977"/>
    <w:rsid w:val="FF9DB239"/>
    <w:rsid w:val="FFEF370E"/>
    <w:rsid w:val="FFFF3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numPr>
        <w:ilvl w:val="1"/>
        <w:numId w:val="1"/>
      </w:numPr>
      <w:suppressAutoHyphens/>
      <w:spacing w:before="240" w:after="120" w:line="240" w:lineRule="auto"/>
      <w:outlineLvl w:val="1"/>
    </w:pPr>
    <w:rPr>
      <w:rFonts w:cs="Arial" w:eastAsiaTheme="minorEastAsia"/>
      <w:b/>
      <w:bCs/>
      <w:iCs/>
      <w:sz w:val="28"/>
      <w:szCs w:val="28"/>
      <w:lang w:eastAsia="en-US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Основной с красной строки"/>
    <w:basedOn w:val="1"/>
    <w:qFormat/>
    <w:uiPriority w:val="0"/>
    <w:pPr>
      <w:widowControl/>
      <w:autoSpaceDN/>
      <w:adjustRightInd/>
      <w:ind w:firstLine="709"/>
      <w:textAlignment w:val="auto"/>
    </w:pPr>
    <w:rPr>
      <w14:ligatures w14:val="standardContextual"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footnote reference"/>
    <w:qFormat/>
    <w:uiPriority w:val="99"/>
    <w:rPr>
      <w:vertAlign w:val="superscript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0">
    <w:name w:val="footnote text"/>
    <w:basedOn w:val="1"/>
    <w:qFormat/>
    <w:uiPriority w:val="99"/>
    <w:rPr>
      <w:sz w:val="20"/>
      <w:szCs w:val="20"/>
    </w:rPr>
  </w:style>
  <w:style w:type="paragraph" w:styleId="11">
    <w:name w:val="Body Text"/>
    <w:basedOn w:val="1"/>
    <w:qFormat/>
    <w:uiPriority w:val="0"/>
    <w:pPr>
      <w:spacing w:before="0" w:after="140" w:line="276" w:lineRule="auto"/>
    </w:pPr>
  </w:style>
  <w:style w:type="paragraph" w:styleId="12">
    <w:name w:val="List"/>
    <w:basedOn w:val="11"/>
    <w:qFormat/>
    <w:uiPriority w:val="0"/>
    <w:rPr>
      <w:rFonts w:cs="Noto Sans"/>
    </w:rPr>
  </w:style>
  <w:style w:type="paragraph" w:customStyle="1" w:styleId="13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Noto Sans"/>
    </w:rPr>
  </w:style>
  <w:style w:type="paragraph" w:customStyle="1" w:styleId="15">
    <w:name w:val="_Основной перед списком"/>
    <w:basedOn w:val="3"/>
    <w:next w:val="16"/>
    <w:qFormat/>
    <w:uiPriority w:val="0"/>
    <w:pPr>
      <w:keepNext/>
    </w:pPr>
  </w:style>
  <w:style w:type="paragraph" w:customStyle="1" w:styleId="16">
    <w:name w:val="_Маркированный список уровня 1"/>
    <w:basedOn w:val="1"/>
    <w:qFormat/>
    <w:uiPriority w:val="0"/>
    <w:pPr>
      <w:widowControl/>
      <w:numPr>
        <w:ilvl w:val="0"/>
        <w:numId w:val="2"/>
      </w:numPr>
      <w:tabs>
        <w:tab w:val="left" w:pos="1134"/>
      </w:tabs>
    </w:pPr>
    <w:rPr>
      <w:rFonts w:eastAsiaTheme="minorEastAsia"/>
      <w:lang w:eastAsia="en-US"/>
      <w14:ligatures w14:val="standardContextual"/>
    </w:rPr>
  </w:style>
  <w:style w:type="paragraph" w:customStyle="1" w:styleId="17">
    <w:name w:val="ph_normal"/>
    <w:basedOn w:val="18"/>
    <w:qFormat/>
    <w:locked/>
    <w:uiPriority w:val="0"/>
    <w:pPr>
      <w:spacing w:line="276" w:lineRule="auto"/>
      <w:ind w:firstLine="709"/>
    </w:pPr>
    <w:rPr>
      <w:rFonts w:ascii="Times New Roman" w:hAnsi="Times New Roman"/>
    </w:rPr>
  </w:style>
  <w:style w:type="paragraph" w:customStyle="1" w:styleId="18">
    <w:name w:val="ph_base"/>
    <w:qFormat/>
    <w:uiPriority w:val="0"/>
    <w:pPr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2026-03-03T14:18:00Z</dcterms:created>
  <dc:creator>e.g.kurkina</dc:creator>
  <cp:lastModifiedBy>e.g.kurkina</cp:lastModifiedBy>
  <cp:lastPrinted>2026-03-04T19:14:00Z</cp:lastPrinted>
  <dcterms:modified xsi:type="dcterms:W3CDTF">2026-03-05T15:12:34Z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