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C5729C">
        <w:rPr>
          <w:szCs w:val="28"/>
          <w:u w:val="single"/>
        </w:rPr>
        <w:t>24</w:t>
      </w:r>
      <w:r w:rsidR="009733C7">
        <w:rPr>
          <w:szCs w:val="28"/>
          <w:u w:val="single"/>
        </w:rPr>
        <w:t>.</w:t>
      </w:r>
      <w:r w:rsidR="00C5729C">
        <w:rPr>
          <w:szCs w:val="28"/>
          <w:u w:val="single"/>
        </w:rPr>
        <w:t>10</w:t>
      </w:r>
      <w:r w:rsidR="009733C7">
        <w:rPr>
          <w:szCs w:val="28"/>
          <w:u w:val="single"/>
        </w:rPr>
        <w:t>.2019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 xml:space="preserve">Наименование регулирующего органа: </w:t>
      </w:r>
      <w:r w:rsidR="00E0410C">
        <w:rPr>
          <w:szCs w:val="28"/>
          <w:u w:val="single"/>
        </w:rPr>
        <w:t>Управление строительства</w:t>
      </w:r>
      <w:r w:rsidR="00492C57">
        <w:rPr>
          <w:szCs w:val="28"/>
          <w:u w:val="single"/>
        </w:rPr>
        <w:t xml:space="preserve"> администрации муниципального образования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>проект постановления администрации муниципального образования Каневской район «</w:t>
      </w:r>
      <w:r w:rsidR="00E0410C">
        <w:rPr>
          <w:szCs w:val="28"/>
          <w:u w:val="single"/>
        </w:rPr>
        <w:t xml:space="preserve">О внесении изменений в постановление администрации муниципального </w:t>
      </w:r>
      <w:r w:rsidR="003E41B7">
        <w:rPr>
          <w:szCs w:val="28"/>
          <w:u w:val="single"/>
        </w:rPr>
        <w:t>образования Каневской район от 17 марта 2017 года №354</w:t>
      </w:r>
      <w:r w:rsidR="00E0410C">
        <w:rPr>
          <w:szCs w:val="28"/>
          <w:u w:val="single"/>
        </w:rPr>
        <w:t xml:space="preserve"> «</w:t>
      </w:r>
      <w:r w:rsidR="00492C57">
        <w:rPr>
          <w:szCs w:val="28"/>
          <w:u w:val="single"/>
        </w:rPr>
        <w:t xml:space="preserve">Об </w:t>
      </w:r>
      <w:r w:rsidR="00E0410C">
        <w:rPr>
          <w:szCs w:val="28"/>
          <w:u w:val="single"/>
        </w:rPr>
        <w:t xml:space="preserve">утверждении </w:t>
      </w:r>
      <w:r w:rsidR="006C78B1">
        <w:rPr>
          <w:szCs w:val="28"/>
          <w:u w:val="single"/>
        </w:rPr>
        <w:t>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Каневской район</w:t>
      </w:r>
      <w:r w:rsidR="00492C57">
        <w:rPr>
          <w:szCs w:val="28"/>
          <w:u w:val="single"/>
        </w:rPr>
        <w:t xml:space="preserve">» 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8113C0">
        <w:rPr>
          <w:szCs w:val="28"/>
          <w:u w:val="single"/>
        </w:rPr>
        <w:t>09</w:t>
      </w:r>
      <w:r w:rsidR="009733C7">
        <w:rPr>
          <w:szCs w:val="28"/>
          <w:u w:val="single"/>
        </w:rPr>
        <w:t>.</w:t>
      </w:r>
      <w:r w:rsidR="008113C0">
        <w:rPr>
          <w:szCs w:val="28"/>
          <w:u w:val="single"/>
        </w:rPr>
        <w:t>10</w:t>
      </w:r>
      <w:r w:rsidR="009733C7">
        <w:rPr>
          <w:szCs w:val="28"/>
          <w:u w:val="single"/>
        </w:rPr>
        <w:t>.2019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8113C0">
        <w:rPr>
          <w:szCs w:val="28"/>
          <w:u w:val="single"/>
        </w:rPr>
        <w:t>23</w:t>
      </w:r>
      <w:r w:rsidR="009733C7">
        <w:rPr>
          <w:szCs w:val="28"/>
          <w:u w:val="single"/>
        </w:rPr>
        <w:t>.</w:t>
      </w:r>
      <w:r w:rsidR="008113C0">
        <w:rPr>
          <w:szCs w:val="28"/>
          <w:u w:val="single"/>
        </w:rPr>
        <w:t>10</w:t>
      </w:r>
      <w:r w:rsidR="009733C7">
        <w:rPr>
          <w:szCs w:val="28"/>
          <w:u w:val="single"/>
        </w:rPr>
        <w:t>.2019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Союз «Каневская межрайонная торгово-промышленная палата».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 письма (уведомления) направленны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8113C0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>
              <w:rPr>
                <w:sz w:val="24"/>
                <w:szCs w:val="28"/>
                <w:u w:val="single"/>
              </w:rPr>
              <w:t>Союз «Каневская межрайонная торгово-</w:t>
            </w:r>
            <w:r>
              <w:rPr>
                <w:sz w:val="24"/>
                <w:szCs w:val="28"/>
                <w:u w:val="single"/>
              </w:rPr>
              <w:lastRenderedPageBreak/>
              <w:t>промышленная палата»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2D18E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 w:rsidR="00877B6D">
              <w:rPr>
                <w:sz w:val="24"/>
                <w:szCs w:val="28"/>
              </w:rPr>
              <w:t>поступили</w:t>
            </w:r>
            <w:r>
              <w:rPr>
                <w:sz w:val="24"/>
                <w:szCs w:val="28"/>
              </w:rPr>
              <w:t>.</w:t>
            </w:r>
          </w:p>
          <w:p w:rsidR="002D18E9" w:rsidRDefault="002D18E9" w:rsidP="002D18E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Оно заключается в следующем:</w:t>
            </w:r>
          </w:p>
          <w:p w:rsidR="002D18E9" w:rsidRDefault="00ED05A8" w:rsidP="002D18E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рекомендовать </w:t>
            </w:r>
            <w:r w:rsidR="002D18E9" w:rsidRPr="002D18E9">
              <w:rPr>
                <w:sz w:val="24"/>
                <w:szCs w:val="28"/>
              </w:rPr>
              <w:t>в Порядке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Каневской район в Шкале для оценки критериев, по которым осуществляется сопоставление заявок на участие в открытом конкурсе показатель «Максимальный срок эксплуатации транспортных средств, предполагаемых юридическим лицом, индивидуальным предпринимателем или участниками</w:t>
            </w:r>
            <w:proofErr w:type="gramEnd"/>
            <w:r w:rsidR="002D18E9" w:rsidRPr="002D18E9">
              <w:rPr>
                <w:sz w:val="24"/>
                <w:szCs w:val="28"/>
              </w:rPr>
              <w:t xml:space="preserve"> договора простого товарищества для осуществления регулярных перевозок в течение срока действия свидетельства об осуществлении перевозок по маршрутам регулярных перевозок» при использовании данного критерия считать возраст транспортного средства различных годов выпуска по среднеарифметич</w:t>
            </w:r>
            <w:r w:rsidR="002C5A7A">
              <w:rPr>
                <w:sz w:val="24"/>
                <w:szCs w:val="28"/>
              </w:rPr>
              <w:t xml:space="preserve">ескому (суммарному) показателю. </w:t>
            </w:r>
            <w:r w:rsidR="002C5A7A" w:rsidRPr="002C5A7A">
              <w:rPr>
                <w:sz w:val="24"/>
                <w:szCs w:val="28"/>
              </w:rPr>
              <w:t xml:space="preserve">Это изменение позволит более точно и правильно рассчитывать совокупность критериев шкалы для </w:t>
            </w:r>
            <w:proofErr w:type="gramStart"/>
            <w:r w:rsidR="002C5A7A" w:rsidRPr="002C5A7A">
              <w:rPr>
                <w:sz w:val="24"/>
                <w:szCs w:val="28"/>
              </w:rPr>
              <w:t>оценки</w:t>
            </w:r>
            <w:proofErr w:type="gramEnd"/>
            <w:r w:rsidR="002C5A7A" w:rsidRPr="002C5A7A">
              <w:rPr>
                <w:sz w:val="24"/>
                <w:szCs w:val="28"/>
              </w:rPr>
              <w:t xml:space="preserve"> по которым осуществляется </w:t>
            </w:r>
            <w:r w:rsidR="002C5A7A" w:rsidRPr="002C5A7A">
              <w:rPr>
                <w:sz w:val="24"/>
                <w:szCs w:val="28"/>
              </w:rPr>
              <w:lastRenderedPageBreak/>
              <w:t>сопоставление заявок, а также  участия в конкурсе.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2C5A7A" w:rsidRPr="002C5A7A" w:rsidRDefault="008D22E2" w:rsidP="002C5A7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Считаем данное предложение принять во внимание</w:t>
            </w:r>
            <w:r w:rsidR="002C5A7A">
              <w:rPr>
                <w:sz w:val="24"/>
                <w:szCs w:val="28"/>
              </w:rPr>
              <w:t>, так как более правильно и точно при заявке транспортных средств различных годов выпуска, оценка критерия должна осуществляться по сложению возраста каждого транспортного средства деленное на количество транспортных средств</w:t>
            </w:r>
            <w:proofErr w:type="gramStart"/>
            <w:r w:rsidR="002C5A7A">
              <w:rPr>
                <w:sz w:val="24"/>
                <w:szCs w:val="28"/>
              </w:rPr>
              <w:t>.</w:t>
            </w:r>
            <w:proofErr w:type="gramEnd"/>
            <w:r w:rsidR="00EF30CF">
              <w:rPr>
                <w:sz w:val="24"/>
                <w:szCs w:val="28"/>
              </w:rPr>
              <w:t xml:space="preserve"> Рекомендуем </w:t>
            </w:r>
            <w:r w:rsidR="002C5A7A" w:rsidRPr="002C5A7A">
              <w:rPr>
                <w:sz w:val="24"/>
                <w:szCs w:val="28"/>
              </w:rPr>
              <w:t>данное предложение учесть</w:t>
            </w:r>
            <w:r w:rsidR="00EF30CF">
              <w:rPr>
                <w:sz w:val="24"/>
                <w:szCs w:val="28"/>
              </w:rPr>
              <w:t>.</w:t>
            </w:r>
          </w:p>
          <w:p w:rsidR="002C5A7A" w:rsidRDefault="002C5A7A" w:rsidP="002C5A7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EF30C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EF30C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bookmarkStart w:id="0" w:name="_GoBack"/>
            <w:bookmarkEnd w:id="0"/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8113C0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   </w:t>
      </w:r>
      <w:r w:rsidR="008113C0">
        <w:rPr>
          <w:szCs w:val="28"/>
          <w:u w:val="single"/>
        </w:rPr>
        <w:t xml:space="preserve">И.Н. </w:t>
      </w:r>
      <w:proofErr w:type="spellStart"/>
      <w:r w:rsidR="008113C0">
        <w:rPr>
          <w:szCs w:val="28"/>
          <w:u w:val="single"/>
        </w:rPr>
        <w:t>Гречина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8113C0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24</w:t>
      </w:r>
      <w:r w:rsidR="009733C7">
        <w:rPr>
          <w:szCs w:val="28"/>
          <w:u w:val="single"/>
        </w:rPr>
        <w:t>.</w:t>
      </w:r>
      <w:r>
        <w:rPr>
          <w:szCs w:val="28"/>
          <w:u w:val="single"/>
        </w:rPr>
        <w:t>10</w:t>
      </w:r>
      <w:r w:rsidR="009733C7">
        <w:rPr>
          <w:szCs w:val="28"/>
          <w:u w:val="single"/>
        </w:rPr>
        <w:t>.2019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103E4D"/>
    <w:rsid w:val="00120540"/>
    <w:rsid w:val="002C5A7A"/>
    <w:rsid w:val="002D18E9"/>
    <w:rsid w:val="003E41B7"/>
    <w:rsid w:val="00471F19"/>
    <w:rsid w:val="00492C57"/>
    <w:rsid w:val="00492EA4"/>
    <w:rsid w:val="004E53FC"/>
    <w:rsid w:val="006C78B1"/>
    <w:rsid w:val="007B7CE2"/>
    <w:rsid w:val="007F639D"/>
    <w:rsid w:val="008113C0"/>
    <w:rsid w:val="00877B6D"/>
    <w:rsid w:val="008D22E2"/>
    <w:rsid w:val="009733C7"/>
    <w:rsid w:val="00A95BA0"/>
    <w:rsid w:val="00B55C8F"/>
    <w:rsid w:val="00C5729C"/>
    <w:rsid w:val="00DE367B"/>
    <w:rsid w:val="00E0410C"/>
    <w:rsid w:val="00E54B92"/>
    <w:rsid w:val="00ED05A8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</cp:revision>
  <cp:lastPrinted>2018-08-15T10:51:00Z</cp:lastPrinted>
  <dcterms:created xsi:type="dcterms:W3CDTF">2018-08-10T05:45:00Z</dcterms:created>
  <dcterms:modified xsi:type="dcterms:W3CDTF">2019-10-22T08:42:00Z</dcterms:modified>
</cp:coreProperties>
</file>