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D4DED">
        <w:rPr>
          <w:noProof/>
          <w:sz w:val="28"/>
          <w:szCs w:val="28"/>
          <w:lang w:eastAsia="ru-RU"/>
        </w:rPr>
        <w:t>28</w:t>
      </w:r>
      <w:r w:rsidR="005E586B">
        <w:rPr>
          <w:noProof/>
          <w:sz w:val="28"/>
          <w:szCs w:val="28"/>
          <w:lang w:eastAsia="ru-RU"/>
        </w:rPr>
        <w:t>.</w:t>
      </w:r>
      <w:r w:rsidR="009D4DED">
        <w:rPr>
          <w:noProof/>
          <w:sz w:val="28"/>
          <w:szCs w:val="28"/>
          <w:lang w:eastAsia="ru-RU"/>
        </w:rPr>
        <w:t>03.2025</w:t>
      </w:r>
      <w:r w:rsidRPr="00676E06">
        <w:rPr>
          <w:color w:val="000000"/>
          <w:sz w:val="28"/>
        </w:rPr>
        <w:t xml:space="preserve"> г. № 0</w:t>
      </w:r>
      <w:r w:rsidR="009D4DED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9D4DED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9D4DED">
        <w:rPr>
          <w:color w:val="000000"/>
          <w:sz w:val="28"/>
        </w:rPr>
        <w:t>26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826CB3" w:rsidRPr="007F7237" w:rsidRDefault="00E164C9" w:rsidP="00E8461A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3251AB" w:rsidRPr="00DA277F">
        <w:rPr>
          <w:sz w:val="28"/>
          <w:szCs w:val="28"/>
        </w:rPr>
        <w:t>постановления администрации</w:t>
      </w:r>
      <w:r w:rsidR="00DE10D1" w:rsidRPr="00DA277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муниципального образования Каневской </w:t>
      </w:r>
      <w:r w:rsidRPr="007F7237">
        <w:rPr>
          <w:sz w:val="28"/>
          <w:szCs w:val="28"/>
        </w:rPr>
        <w:t xml:space="preserve">район </w:t>
      </w:r>
      <w:r w:rsidR="00513ADF" w:rsidRPr="00513ADF">
        <w:rPr>
          <w:bCs/>
          <w:sz w:val="28"/>
          <w:szCs w:val="28"/>
        </w:rPr>
        <w:t>«Об утверждении Порядка предоставления мер социальной поддержки членам семьи мобилизованных граждан, контрактников, добровольцев, принимающих участие в специальной военной операции, а также военнослужащего, погибшего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района»</w:t>
      </w:r>
    </w:p>
    <w:p w:rsidR="00D62EB7" w:rsidRPr="00EA72C6" w:rsidRDefault="00D62EB7" w:rsidP="00D62EB7">
      <w:pPr>
        <w:jc w:val="center"/>
        <w:rPr>
          <w:sz w:val="28"/>
          <w:szCs w:val="28"/>
        </w:rPr>
      </w:pPr>
    </w:p>
    <w:p w:rsidR="00E164C9" w:rsidRPr="00DA277F" w:rsidRDefault="00E164C9" w:rsidP="005E2A1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 w:rsidRPr="00DA277F">
        <w:rPr>
          <w:sz w:val="28"/>
          <w:szCs w:val="28"/>
        </w:rPr>
        <w:t>постановления администрации</w:t>
      </w:r>
      <w:r w:rsidRPr="00DA277F">
        <w:rPr>
          <w:sz w:val="28"/>
          <w:szCs w:val="28"/>
        </w:rPr>
        <w:t xml:space="preserve"> муниципального образования Каневской район </w:t>
      </w:r>
      <w:r w:rsidR="00513ADF" w:rsidRPr="00513ADF">
        <w:rPr>
          <w:sz w:val="28"/>
          <w:szCs w:val="28"/>
        </w:rPr>
        <w:t>«Об утверждении Порядка предоставления мер социальной поддержки членам семьи мобилизованных граждан, контрактников, добровольцев, принимающих участие в специальной военной операции, а также военнослужащего, погибшего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района»</w:t>
      </w:r>
      <w:r w:rsidR="00513ADF">
        <w:rPr>
          <w:sz w:val="28"/>
          <w:szCs w:val="28"/>
        </w:rPr>
        <w:t xml:space="preserve"> </w:t>
      </w:r>
      <w:bookmarkStart w:id="0" w:name="_GoBack"/>
      <w:bookmarkEnd w:id="0"/>
      <w:r w:rsidRPr="00DA277F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</w:t>
      </w:r>
      <w:r w:rsidRPr="00CF7147">
        <w:rPr>
          <w:b w:val="0"/>
          <w:sz w:val="28"/>
          <w:szCs w:val="28"/>
        </w:rPr>
        <w:lastRenderedPageBreak/>
        <w:t>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513AD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642B0"/>
    <w:rsid w:val="000A1878"/>
    <w:rsid w:val="000A3489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13ADF"/>
    <w:rsid w:val="005D610E"/>
    <w:rsid w:val="005E2A1D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1D38"/>
    <w:rsid w:val="007F5740"/>
    <w:rsid w:val="007F7237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D4A48"/>
    <w:rsid w:val="009D4DED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A277F"/>
    <w:rsid w:val="00DE10D1"/>
    <w:rsid w:val="00DE61F8"/>
    <w:rsid w:val="00E02AC0"/>
    <w:rsid w:val="00E164C9"/>
    <w:rsid w:val="00E514EF"/>
    <w:rsid w:val="00E571D8"/>
    <w:rsid w:val="00E64E20"/>
    <w:rsid w:val="00E8461A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1DEC7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сновной текст_"/>
    <w:basedOn w:val="a0"/>
    <w:link w:val="1"/>
    <w:rsid w:val="00E84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E8461A"/>
    <w:pPr>
      <w:widowControl w:val="0"/>
      <w:shd w:val="clear" w:color="auto" w:fill="FFFFFF"/>
      <w:ind w:firstLine="400"/>
    </w:pPr>
    <w:rPr>
      <w:rFonts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57</cp:revision>
  <cp:lastPrinted>2022-09-13T06:15:00Z</cp:lastPrinted>
  <dcterms:created xsi:type="dcterms:W3CDTF">2021-08-13T08:28:00Z</dcterms:created>
  <dcterms:modified xsi:type="dcterms:W3CDTF">2025-03-28T06:54:00Z</dcterms:modified>
</cp:coreProperties>
</file>