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E131" w14:textId="30950FA3" w:rsidR="00E164C9" w:rsidRPr="00F5002A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4D81D45E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169"/>
                              <w:gridCol w:w="5076"/>
                            </w:tblGrid>
                            <w:tr w:rsidR="00E164C9" w14:paraId="72151D26" w14:textId="77777777" w:rsidTr="00246D4E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28207A1E" w14:textId="77777777" w:rsidR="001458A0" w:rsidRPr="00246D4E" w:rsidRDefault="001458A0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83EB75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72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Начальнику </w:t>
                                  </w:r>
                                </w:p>
                                <w:p w14:paraId="690B7245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финансового управления администрации муниципального образования </w:t>
                                  </w:r>
                                </w:p>
                                <w:p w14:paraId="772BA4B8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14:paraId="605B1702" w14:textId="77777777" w:rsidR="00D8167B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921D5D6" w14:textId="218EA4C9" w:rsidR="00E164C9" w:rsidRPr="00246D4E" w:rsidRDefault="00D8167B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46D4E">
                                    <w:rPr>
                                      <w:sz w:val="28"/>
                                    </w:rPr>
                                    <w:t>Битюков</w:t>
                                  </w:r>
                                  <w:r>
                                    <w:rPr>
                                      <w:sz w:val="28"/>
                                    </w:rPr>
                                    <w:t>у</w:t>
                                  </w:r>
                                  <w:r w:rsidRPr="00246D4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246D4E">
                                    <w:rPr>
                                      <w:sz w:val="28"/>
                                    </w:rPr>
                                    <w:t>А.И.</w:t>
                                  </w: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169"/>
                        <w:gridCol w:w="5076"/>
                      </w:tblGrid>
                      <w:tr w:rsidR="00E164C9" w14:paraId="72151D26" w14:textId="77777777" w:rsidTr="00246D4E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28207A1E" w14:textId="77777777" w:rsidR="001458A0" w:rsidRPr="00246D4E" w:rsidRDefault="001458A0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83EB75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72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Начальнику </w:t>
                            </w:r>
                          </w:p>
                          <w:p w14:paraId="690B7245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финансового управления администрации муниципального образования </w:t>
                            </w:r>
                          </w:p>
                          <w:p w14:paraId="772BA4B8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14:paraId="605B1702" w14:textId="77777777" w:rsidR="00D8167B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921D5D6" w14:textId="218EA4C9" w:rsidR="00E164C9" w:rsidRPr="00246D4E" w:rsidRDefault="00D8167B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246D4E">
                              <w:rPr>
                                <w:sz w:val="28"/>
                              </w:rPr>
                              <w:t>Битюков</w:t>
                            </w:r>
                            <w:r>
                              <w:rPr>
                                <w:sz w:val="28"/>
                              </w:rPr>
                              <w:t>у</w:t>
                            </w:r>
                            <w:r w:rsidRPr="00246D4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46D4E">
                              <w:rPr>
                                <w:sz w:val="28"/>
                              </w:rPr>
                              <w:t>А.И.</w:t>
                            </w: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6D126C">
        <w:rPr>
          <w:color w:val="000000"/>
          <w:sz w:val="28"/>
        </w:rPr>
        <w:t>26</w:t>
      </w:r>
      <w:r w:rsidR="00C525AE">
        <w:rPr>
          <w:color w:val="000000"/>
          <w:sz w:val="28"/>
        </w:rPr>
        <w:t>.</w:t>
      </w:r>
      <w:r w:rsidR="00284545">
        <w:rPr>
          <w:color w:val="000000"/>
          <w:sz w:val="28"/>
        </w:rPr>
        <w:t>1</w:t>
      </w:r>
      <w:r w:rsidR="008F301C">
        <w:rPr>
          <w:color w:val="000000"/>
          <w:sz w:val="28"/>
        </w:rPr>
        <w:t>2</w:t>
      </w:r>
      <w:r w:rsidR="002A3BA8">
        <w:rPr>
          <w:color w:val="000000"/>
          <w:sz w:val="28"/>
        </w:rPr>
        <w:t>.202</w:t>
      </w:r>
      <w:r w:rsidR="004D6B9A">
        <w:rPr>
          <w:color w:val="000000"/>
          <w:sz w:val="28"/>
        </w:rPr>
        <w:t>4</w:t>
      </w:r>
      <w:r w:rsidRPr="00676E06">
        <w:rPr>
          <w:color w:val="000000"/>
          <w:sz w:val="28"/>
        </w:rPr>
        <w:t xml:space="preserve"> г. № 07-01/</w:t>
      </w:r>
      <w:r w:rsidR="00284545">
        <w:rPr>
          <w:color w:val="000000"/>
          <w:sz w:val="28"/>
        </w:rPr>
        <w:t>1</w:t>
      </w:r>
      <w:r w:rsidR="00E426EF">
        <w:rPr>
          <w:color w:val="000000"/>
          <w:sz w:val="28"/>
        </w:rPr>
        <w:t>30</w:t>
      </w:r>
    </w:p>
    <w:p w14:paraId="1B52B732" w14:textId="77777777" w:rsidR="00E164C9" w:rsidRDefault="00E164C9" w:rsidP="00E164C9">
      <w:pPr>
        <w:rPr>
          <w:color w:val="000000"/>
          <w:sz w:val="28"/>
        </w:rPr>
      </w:pPr>
    </w:p>
    <w:p w14:paraId="4F4ABAF4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0A564953" w14:textId="03FA58BC" w:rsidR="002458E8" w:rsidRPr="00E426EF" w:rsidRDefault="00454408" w:rsidP="002458E8">
      <w:pPr>
        <w:suppressAutoHyphens/>
        <w:jc w:val="center"/>
        <w:rPr>
          <w:sz w:val="28"/>
          <w:szCs w:val="28"/>
        </w:rPr>
      </w:pPr>
      <w:r w:rsidRPr="00454408">
        <w:rPr>
          <w:sz w:val="28"/>
          <w:szCs w:val="28"/>
        </w:rPr>
        <w:t xml:space="preserve">по результатам экспертизы проекта решения Совета муниципального образования Каневской </w:t>
      </w:r>
      <w:r w:rsidRPr="00D463CE">
        <w:rPr>
          <w:sz w:val="28"/>
          <w:szCs w:val="28"/>
        </w:rPr>
        <w:t xml:space="preserve">район </w:t>
      </w:r>
      <w:r w:rsidR="002458E8" w:rsidRPr="00D463CE">
        <w:rPr>
          <w:sz w:val="28"/>
          <w:szCs w:val="28"/>
        </w:rPr>
        <w:t>«</w:t>
      </w:r>
      <w:r w:rsidR="00D463CE" w:rsidRPr="00D463CE">
        <w:rPr>
          <w:bCs/>
          <w:sz w:val="28"/>
          <w:szCs w:val="28"/>
        </w:rPr>
        <w:t xml:space="preserve">О внесении </w:t>
      </w:r>
      <w:r w:rsidR="00E426EF" w:rsidRPr="00D463CE">
        <w:rPr>
          <w:bCs/>
          <w:sz w:val="28"/>
          <w:szCs w:val="28"/>
        </w:rPr>
        <w:t>изменений</w:t>
      </w:r>
      <w:r w:rsidR="00E426EF" w:rsidRPr="00E426EF">
        <w:rPr>
          <w:bCs/>
          <w:sz w:val="28"/>
          <w:szCs w:val="28"/>
        </w:rPr>
        <w:t xml:space="preserve"> в решение Совета муниципального образования Каневской район от 16 июля 2014 года № 351 «Об утверждении Положения о бюджетном процессе в муниципальном образовании Каневской район</w:t>
      </w:r>
      <w:r w:rsidR="00D119E5">
        <w:rPr>
          <w:bCs/>
          <w:sz w:val="28"/>
          <w:szCs w:val="28"/>
        </w:rPr>
        <w:t>»</w:t>
      </w:r>
      <w:r w:rsidR="00AA5445" w:rsidRPr="00E426EF">
        <w:rPr>
          <w:sz w:val="28"/>
          <w:szCs w:val="28"/>
        </w:rPr>
        <w:t>»</w:t>
      </w:r>
    </w:p>
    <w:p w14:paraId="0542A70F" w14:textId="63C9B6E5" w:rsidR="00454408" w:rsidRPr="00823863" w:rsidRDefault="00454408" w:rsidP="00823863">
      <w:pPr>
        <w:jc w:val="center"/>
        <w:rPr>
          <w:b/>
          <w:sz w:val="28"/>
          <w:szCs w:val="28"/>
        </w:rPr>
      </w:pPr>
    </w:p>
    <w:p w14:paraId="14C625D1" w14:textId="571BCCD8" w:rsidR="00454408" w:rsidRPr="00454408" w:rsidRDefault="00454408" w:rsidP="00012DE9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454408">
        <w:rPr>
          <w:sz w:val="28"/>
          <w:szCs w:val="28"/>
        </w:rPr>
        <w:t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решения Совета муниципально</w:t>
      </w:r>
      <w:r w:rsidR="00A24661">
        <w:rPr>
          <w:sz w:val="28"/>
          <w:szCs w:val="28"/>
        </w:rPr>
        <w:t>го образования Каневской район</w:t>
      </w:r>
      <w:r w:rsidR="00A24661" w:rsidRPr="00A24661">
        <w:rPr>
          <w:sz w:val="28"/>
          <w:szCs w:val="28"/>
        </w:rPr>
        <w:t xml:space="preserve"> </w:t>
      </w:r>
      <w:r w:rsidR="00000674" w:rsidRPr="00000674">
        <w:rPr>
          <w:sz w:val="28"/>
          <w:szCs w:val="28"/>
        </w:rPr>
        <w:t>«</w:t>
      </w:r>
      <w:r w:rsidR="00D463CE">
        <w:rPr>
          <w:sz w:val="28"/>
          <w:szCs w:val="28"/>
        </w:rPr>
        <w:t>О внесении и</w:t>
      </w:r>
      <w:r w:rsidR="00E426EF" w:rsidRPr="00E426EF">
        <w:rPr>
          <w:rFonts w:cs="Times New Roman"/>
          <w:bCs/>
          <w:sz w:val="28"/>
          <w:szCs w:val="28"/>
          <w:lang w:eastAsia="ru-RU"/>
        </w:rPr>
        <w:t>зменений в решение Совета муниципального образования Каневской район от 16 июля 2014 года № 351 «Об утверждении Положения о бюджетном процессе в муниципальном образовании Каневской район</w:t>
      </w:r>
      <w:r w:rsidR="00D119E5">
        <w:rPr>
          <w:rFonts w:cs="Times New Roman"/>
          <w:bCs/>
          <w:sz w:val="28"/>
          <w:szCs w:val="28"/>
          <w:lang w:eastAsia="ru-RU"/>
        </w:rPr>
        <w:t>»</w:t>
      </w:r>
      <w:bookmarkStart w:id="0" w:name="_GoBack"/>
      <w:bookmarkEnd w:id="0"/>
      <w:r w:rsidR="00823863">
        <w:rPr>
          <w:sz w:val="28"/>
          <w:szCs w:val="28"/>
        </w:rPr>
        <w:t>»</w:t>
      </w:r>
      <w:r w:rsidRPr="00454408">
        <w:rPr>
          <w:sz w:val="28"/>
          <w:szCs w:val="28"/>
        </w:rPr>
        <w:t xml:space="preserve"> установил:</w:t>
      </w:r>
    </w:p>
    <w:p w14:paraId="10A5786E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14:paraId="3709BB99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lastRenderedPageBreak/>
        <w:t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район, утвержденного постановлением администрации муниципального образования Каневской район от 15 мая 2012 года № 690,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EE28C79" w14:textId="77777777" w:rsidR="00454408" w:rsidRPr="00CF7147" w:rsidRDefault="00454408" w:rsidP="00E164C9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54B8B70E" w14:textId="77777777" w:rsidR="003317DF" w:rsidRPr="00CF7147" w:rsidRDefault="003317DF" w:rsidP="003317DF">
      <w:pPr>
        <w:pStyle w:val="ConsPlusTitle"/>
        <w:ind w:firstLine="709"/>
        <w:jc w:val="both"/>
        <w:rPr>
          <w:b w:val="0"/>
          <w:sz w:val="28"/>
          <w:szCs w:val="28"/>
        </w:rPr>
      </w:pPr>
    </w:p>
    <w:p w14:paraId="4D53854D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  <w:r>
        <w:rPr>
          <w:b w:val="0"/>
          <w:sz w:val="28"/>
          <w:szCs w:val="28"/>
        </w:rPr>
        <w:t xml:space="preserve"> администрации</w:t>
      </w:r>
    </w:p>
    <w:p w14:paraId="182DC66C" w14:textId="77777777" w:rsidR="003317DF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образования</w:t>
      </w:r>
    </w:p>
    <w:p w14:paraId="2F21E2D8" w14:textId="77777777" w:rsidR="003317DF" w:rsidRPr="00D8167B" w:rsidRDefault="003317DF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Каневской район </w:t>
      </w:r>
      <w:r w:rsidRPr="00DE10D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</w:t>
      </w:r>
      <w:r w:rsidRPr="00DE10D1">
        <w:rPr>
          <w:sz w:val="28"/>
          <w:szCs w:val="28"/>
        </w:rPr>
        <w:t xml:space="preserve">    </w:t>
      </w:r>
      <w:r>
        <w:rPr>
          <w:sz w:val="28"/>
          <w:szCs w:val="28"/>
        </w:rPr>
        <w:t>С.П. Гончаров</w:t>
      </w:r>
    </w:p>
    <w:p w14:paraId="3309F06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5876A3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FCC0F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26F018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79A32C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19B69B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34694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B6A42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CC529B7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2DE2361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F00082B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4641D8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558EEB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7FCA7DAD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6445395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64726D0" w14:textId="585B9726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CC2679E" w14:textId="070D8D8C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2DFBE071" w14:textId="7B283C3A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519B716F" w14:textId="5D68C2D4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1707387A" w14:textId="3D9B164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1B226D1" w14:textId="46C08453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62A13A8B" w14:textId="346CDB75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4F2BEEF2" w14:textId="434EA678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3B5514E6" w14:textId="3BD48772" w:rsid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  <w:lang w:eastAsia="ru-RU"/>
        </w:rPr>
      </w:pPr>
    </w:p>
    <w:p w14:paraId="02A8CF6F" w14:textId="77777777" w:rsidR="00D8167B" w:rsidRPr="00D8167B" w:rsidRDefault="00D8167B" w:rsidP="00D8167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bCs/>
          <w:sz w:val="24"/>
          <w:szCs w:val="24"/>
          <w:lang w:eastAsia="ru-RU"/>
        </w:rPr>
      </w:pPr>
      <w:r w:rsidRPr="00D8167B">
        <w:rPr>
          <w:rFonts w:cs="Times New Roman"/>
          <w:bCs/>
          <w:sz w:val="24"/>
          <w:szCs w:val="24"/>
          <w:lang w:eastAsia="ru-RU"/>
        </w:rPr>
        <w:t>Мороз Татьяна Ивановна</w:t>
      </w:r>
    </w:p>
    <w:p w14:paraId="65292866" w14:textId="2016C389" w:rsidR="007301D9" w:rsidRPr="00325355" w:rsidRDefault="00D8167B" w:rsidP="00B6686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D8167B">
        <w:rPr>
          <w:rFonts w:cs="Times New Roman"/>
          <w:bCs/>
          <w:sz w:val="24"/>
          <w:szCs w:val="24"/>
          <w:lang w:eastAsia="ru-RU"/>
        </w:rPr>
        <w:t>+7 (861-64) 7-21-07</w:t>
      </w:r>
    </w:p>
    <w:sectPr w:rsidR="007301D9" w:rsidRPr="00325355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419E7" w14:textId="77777777" w:rsidR="001E72D4" w:rsidRDefault="001E72D4" w:rsidP="00E164C9">
      <w:r>
        <w:separator/>
      </w:r>
    </w:p>
  </w:endnote>
  <w:endnote w:type="continuationSeparator" w:id="0">
    <w:p w14:paraId="4CCCD4C9" w14:textId="77777777" w:rsidR="001E72D4" w:rsidRDefault="001E72D4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CE8C0" w14:textId="77777777" w:rsidR="001E72D4" w:rsidRDefault="001E72D4" w:rsidP="00E164C9">
      <w:r>
        <w:separator/>
      </w:r>
    </w:p>
  </w:footnote>
  <w:footnote w:type="continuationSeparator" w:id="0">
    <w:p w14:paraId="0FD2DBEC" w14:textId="77777777" w:rsidR="001E72D4" w:rsidRDefault="001E72D4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7742606"/>
      <w:docPartObj>
        <w:docPartGallery w:val="Page Numbers (Top of Page)"/>
        <w:docPartUnique/>
      </w:docPartObj>
    </w:sdtPr>
    <w:sdtEndPr/>
    <w:sdtContent>
      <w:p w14:paraId="0A4408DE" w14:textId="33849E93" w:rsidR="00E164C9" w:rsidRDefault="00E16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9E5">
          <w:rPr>
            <w:noProof/>
          </w:rPr>
          <w:t>2</w:t>
        </w:r>
        <w: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00674"/>
    <w:rsid w:val="00012DE9"/>
    <w:rsid w:val="000A1878"/>
    <w:rsid w:val="000A3489"/>
    <w:rsid w:val="00126D35"/>
    <w:rsid w:val="001458A0"/>
    <w:rsid w:val="00163860"/>
    <w:rsid w:val="001E72D4"/>
    <w:rsid w:val="002024D1"/>
    <w:rsid w:val="00204DBE"/>
    <w:rsid w:val="002458E8"/>
    <w:rsid w:val="00246D4E"/>
    <w:rsid w:val="00261E95"/>
    <w:rsid w:val="00284545"/>
    <w:rsid w:val="002A2737"/>
    <w:rsid w:val="002A3BA8"/>
    <w:rsid w:val="003002E0"/>
    <w:rsid w:val="003251AB"/>
    <w:rsid w:val="00325355"/>
    <w:rsid w:val="003317DF"/>
    <w:rsid w:val="003342A1"/>
    <w:rsid w:val="00365B28"/>
    <w:rsid w:val="00376A01"/>
    <w:rsid w:val="004030D8"/>
    <w:rsid w:val="00412981"/>
    <w:rsid w:val="00416549"/>
    <w:rsid w:val="00454408"/>
    <w:rsid w:val="0047476D"/>
    <w:rsid w:val="004829CC"/>
    <w:rsid w:val="004A1851"/>
    <w:rsid w:val="004D6B9A"/>
    <w:rsid w:val="004D7B39"/>
    <w:rsid w:val="00531B06"/>
    <w:rsid w:val="005E6A70"/>
    <w:rsid w:val="0062294E"/>
    <w:rsid w:val="00644741"/>
    <w:rsid w:val="00652203"/>
    <w:rsid w:val="006609C3"/>
    <w:rsid w:val="006661BA"/>
    <w:rsid w:val="006D126C"/>
    <w:rsid w:val="006D4FD2"/>
    <w:rsid w:val="006F382E"/>
    <w:rsid w:val="00710882"/>
    <w:rsid w:val="007301D9"/>
    <w:rsid w:val="00732FAB"/>
    <w:rsid w:val="007623F4"/>
    <w:rsid w:val="007C17EB"/>
    <w:rsid w:val="007C23C3"/>
    <w:rsid w:val="007F5740"/>
    <w:rsid w:val="0081145B"/>
    <w:rsid w:val="00823863"/>
    <w:rsid w:val="0084616B"/>
    <w:rsid w:val="00871D0F"/>
    <w:rsid w:val="00873C25"/>
    <w:rsid w:val="008B2FC5"/>
    <w:rsid w:val="008F301C"/>
    <w:rsid w:val="008F7474"/>
    <w:rsid w:val="00950FAF"/>
    <w:rsid w:val="009D4A48"/>
    <w:rsid w:val="00A24661"/>
    <w:rsid w:val="00AA5445"/>
    <w:rsid w:val="00AE2EB3"/>
    <w:rsid w:val="00B14B82"/>
    <w:rsid w:val="00B30C86"/>
    <w:rsid w:val="00B6686C"/>
    <w:rsid w:val="00B9794A"/>
    <w:rsid w:val="00BF318A"/>
    <w:rsid w:val="00C525AE"/>
    <w:rsid w:val="00D00577"/>
    <w:rsid w:val="00D119E5"/>
    <w:rsid w:val="00D411DF"/>
    <w:rsid w:val="00D4412E"/>
    <w:rsid w:val="00D463CE"/>
    <w:rsid w:val="00D8167B"/>
    <w:rsid w:val="00DC0186"/>
    <w:rsid w:val="00DE61F8"/>
    <w:rsid w:val="00E02AC0"/>
    <w:rsid w:val="00E1409F"/>
    <w:rsid w:val="00E164C9"/>
    <w:rsid w:val="00E426EF"/>
    <w:rsid w:val="00E514EF"/>
    <w:rsid w:val="00E571D8"/>
    <w:rsid w:val="00E64E20"/>
    <w:rsid w:val="00F03A81"/>
    <w:rsid w:val="00F5002A"/>
    <w:rsid w:val="00F54D5A"/>
    <w:rsid w:val="00FA2405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21</cp:revision>
  <cp:lastPrinted>2024-06-25T05:22:00Z</cp:lastPrinted>
  <dcterms:created xsi:type="dcterms:W3CDTF">2024-05-16T08:02:00Z</dcterms:created>
  <dcterms:modified xsi:type="dcterms:W3CDTF">2024-12-26T08:14:00Z</dcterms:modified>
</cp:coreProperties>
</file>