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33FEB">
        <w:rPr>
          <w:color w:val="000000"/>
          <w:sz w:val="28"/>
        </w:rPr>
        <w:t>17</w:t>
      </w:r>
      <w:bookmarkStart w:id="0" w:name="_GoBack"/>
      <w:bookmarkEnd w:id="0"/>
      <w:r w:rsidR="00412981">
        <w:rPr>
          <w:color w:val="000000"/>
          <w:sz w:val="28"/>
        </w:rPr>
        <w:t>.0</w:t>
      </w:r>
      <w:r w:rsidR="00110BE5">
        <w:rPr>
          <w:color w:val="000000"/>
          <w:sz w:val="28"/>
        </w:rPr>
        <w:t>5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033FEB">
        <w:rPr>
          <w:color w:val="000000" w:themeColor="text1"/>
          <w:sz w:val="28"/>
        </w:rPr>
        <w:t>41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110BE5" w:rsidRPr="00110BE5" w:rsidRDefault="001753F4" w:rsidP="00110BE5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110BE5" w:rsidRPr="00110BE5">
        <w:rPr>
          <w:sz w:val="28"/>
          <w:szCs w:val="28"/>
        </w:rPr>
        <w:t>Об утверждении Порядка проведен</w:t>
      </w:r>
      <w:r w:rsidR="00110BE5">
        <w:rPr>
          <w:sz w:val="28"/>
          <w:szCs w:val="28"/>
        </w:rPr>
        <w:t>ия проверки соблюдения ограниче</w:t>
      </w:r>
      <w:r w:rsidR="00110BE5" w:rsidRPr="00110BE5">
        <w:rPr>
          <w:sz w:val="28"/>
          <w:szCs w:val="28"/>
        </w:rPr>
        <w:t>ний</w:t>
      </w:r>
    </w:p>
    <w:p w:rsidR="00110BE5" w:rsidRPr="00110BE5" w:rsidRDefault="00110BE5" w:rsidP="00110BE5">
      <w:pPr>
        <w:jc w:val="center"/>
        <w:rPr>
          <w:sz w:val="28"/>
          <w:szCs w:val="28"/>
        </w:rPr>
      </w:pPr>
      <w:r w:rsidRPr="00110BE5">
        <w:rPr>
          <w:sz w:val="28"/>
          <w:szCs w:val="28"/>
        </w:rPr>
        <w:t xml:space="preserve">гражданином, ранее замещавшим должность муниципальной службы </w:t>
      </w:r>
    </w:p>
    <w:p w:rsidR="00110BE5" w:rsidRPr="00110BE5" w:rsidRDefault="00110BE5" w:rsidP="00110BE5">
      <w:pPr>
        <w:jc w:val="center"/>
        <w:rPr>
          <w:sz w:val="28"/>
          <w:szCs w:val="28"/>
        </w:rPr>
      </w:pPr>
      <w:r w:rsidRPr="00110BE5">
        <w:rPr>
          <w:sz w:val="28"/>
          <w:szCs w:val="28"/>
        </w:rPr>
        <w:t xml:space="preserve">в муниципальном образовании Каневской район, при замещении </w:t>
      </w:r>
    </w:p>
    <w:p w:rsidR="00110BE5" w:rsidRPr="00110BE5" w:rsidRDefault="00110BE5" w:rsidP="00110BE5">
      <w:pPr>
        <w:jc w:val="center"/>
        <w:rPr>
          <w:sz w:val="28"/>
          <w:szCs w:val="28"/>
        </w:rPr>
      </w:pPr>
      <w:r w:rsidRPr="00110BE5">
        <w:rPr>
          <w:sz w:val="28"/>
          <w:szCs w:val="28"/>
        </w:rPr>
        <w:t xml:space="preserve">которой на муниципального служащего распространяются ограничения, </w:t>
      </w:r>
    </w:p>
    <w:p w:rsidR="003004D5" w:rsidRDefault="00110BE5" w:rsidP="00110BE5">
      <w:pPr>
        <w:jc w:val="center"/>
        <w:rPr>
          <w:sz w:val="28"/>
          <w:szCs w:val="28"/>
        </w:rPr>
      </w:pPr>
      <w:r w:rsidRPr="00110BE5">
        <w:rPr>
          <w:sz w:val="28"/>
          <w:szCs w:val="28"/>
        </w:rPr>
        <w:t>предусмотренные статьей 12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110BE5" w:rsidRPr="00110BE5">
        <w:rPr>
          <w:sz w:val="28"/>
          <w:szCs w:val="28"/>
        </w:rPr>
        <w:t>Об утверждении Порядка проведен</w:t>
      </w:r>
      <w:r w:rsidR="00110BE5">
        <w:rPr>
          <w:sz w:val="28"/>
          <w:szCs w:val="28"/>
        </w:rPr>
        <w:t xml:space="preserve">ия проверки соблюдения ограничений </w:t>
      </w:r>
      <w:r w:rsidR="00110BE5" w:rsidRPr="00110BE5">
        <w:rPr>
          <w:sz w:val="28"/>
          <w:szCs w:val="28"/>
        </w:rPr>
        <w:t xml:space="preserve">гражданином, ранее замещавшим </w:t>
      </w:r>
      <w:r w:rsidR="00110BE5">
        <w:rPr>
          <w:sz w:val="28"/>
          <w:szCs w:val="28"/>
        </w:rPr>
        <w:t xml:space="preserve">должность муниципальной службы </w:t>
      </w:r>
      <w:r w:rsidR="00110BE5" w:rsidRPr="00110BE5">
        <w:rPr>
          <w:sz w:val="28"/>
          <w:szCs w:val="28"/>
        </w:rPr>
        <w:t xml:space="preserve">в муниципальном образовании </w:t>
      </w:r>
      <w:r w:rsidR="00110BE5">
        <w:rPr>
          <w:sz w:val="28"/>
          <w:szCs w:val="28"/>
        </w:rPr>
        <w:t xml:space="preserve">Каневской район, при замещении </w:t>
      </w:r>
      <w:r w:rsidR="00110BE5" w:rsidRPr="00110BE5">
        <w:rPr>
          <w:sz w:val="28"/>
          <w:szCs w:val="28"/>
        </w:rPr>
        <w:t>которой на муниципального служащего</w:t>
      </w:r>
      <w:r w:rsidR="00110BE5">
        <w:rPr>
          <w:sz w:val="28"/>
          <w:szCs w:val="28"/>
        </w:rPr>
        <w:t xml:space="preserve"> распространяются ограничения, </w:t>
      </w:r>
      <w:r w:rsidR="00110BE5" w:rsidRPr="00110BE5">
        <w:rPr>
          <w:sz w:val="28"/>
          <w:szCs w:val="28"/>
        </w:rPr>
        <w:t>предусмотренные статьей 12 Федерального закона от 25 декабря 2008 года № 273-ФЗ «О противодействии коррупции»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110BE5" w:rsidRDefault="00110BE5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110BE5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3633B6">
        <w:rPr>
          <w:b w:val="0"/>
          <w:sz w:val="28"/>
          <w:szCs w:val="28"/>
        </w:rPr>
        <w:t xml:space="preserve">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9F" w:rsidRDefault="0007469F" w:rsidP="00E164C9">
      <w:r>
        <w:separator/>
      </w:r>
    </w:p>
  </w:endnote>
  <w:endnote w:type="continuationSeparator" w:id="0">
    <w:p w:rsidR="0007469F" w:rsidRDefault="0007469F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9F" w:rsidRDefault="0007469F" w:rsidP="00E164C9">
      <w:r>
        <w:separator/>
      </w:r>
    </w:p>
  </w:footnote>
  <w:footnote w:type="continuationSeparator" w:id="0">
    <w:p w:rsidR="0007469F" w:rsidRDefault="0007469F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E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3FEB"/>
    <w:rsid w:val="0007469F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34</cp:revision>
  <cp:lastPrinted>2023-05-10T05:08:00Z</cp:lastPrinted>
  <dcterms:created xsi:type="dcterms:W3CDTF">2021-08-13T08:28:00Z</dcterms:created>
  <dcterms:modified xsi:type="dcterms:W3CDTF">2023-05-17T05:38:00Z</dcterms:modified>
</cp:coreProperties>
</file>