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768C9FB8"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4C7C4B">
        <w:rPr>
          <w:rFonts w:ascii="Times New Roman" w:hAnsi="Times New Roman" w:cs="Times New Roman"/>
          <w:b/>
          <w:bCs/>
          <w:sz w:val="28"/>
          <w:szCs w:val="28"/>
        </w:rPr>
        <w:t>22</w:t>
      </w:r>
      <w:r w:rsidR="00185639">
        <w:rPr>
          <w:rFonts w:ascii="Times New Roman" w:hAnsi="Times New Roman" w:cs="Times New Roman"/>
          <w:b/>
          <w:bCs/>
          <w:sz w:val="28"/>
          <w:szCs w:val="28"/>
        </w:rPr>
        <w:t xml:space="preserve"> ноября </w:t>
      </w:r>
      <w:r w:rsidR="00B21EBB" w:rsidRPr="00B21EBB">
        <w:rPr>
          <w:rFonts w:ascii="Times New Roman" w:hAnsi="Times New Roman" w:cs="Times New Roman"/>
          <w:b/>
          <w:bCs/>
          <w:sz w:val="28"/>
          <w:szCs w:val="28"/>
        </w:rPr>
        <w:t xml:space="preserve">2017 г. № </w:t>
      </w:r>
      <w:r w:rsidR="004C7C4B">
        <w:rPr>
          <w:rFonts w:ascii="Times New Roman" w:hAnsi="Times New Roman" w:cs="Times New Roman"/>
          <w:b/>
          <w:bCs/>
          <w:sz w:val="28"/>
          <w:szCs w:val="28"/>
        </w:rPr>
        <w:t>20</w:t>
      </w:r>
      <w:r w:rsidR="002E7AD6">
        <w:rPr>
          <w:rFonts w:ascii="Times New Roman" w:hAnsi="Times New Roman" w:cs="Times New Roman"/>
          <w:b/>
          <w:bCs/>
          <w:sz w:val="28"/>
          <w:szCs w:val="28"/>
        </w:rPr>
        <w:t>2</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2E7AD6">
        <w:rPr>
          <w:rFonts w:ascii="Times New Roman" w:hAnsi="Times New Roman" w:cs="Times New Roman"/>
          <w:b/>
          <w:bCs/>
          <w:sz w:val="28"/>
          <w:szCs w:val="28"/>
        </w:rPr>
        <w:t>Новодеревянковского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85639"/>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E7AD6"/>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C7C4B"/>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E6587"/>
    <w:rsid w:val="00DF72FA"/>
    <w:rsid w:val="00E76267"/>
    <w:rsid w:val="00ED6630"/>
    <w:rsid w:val="00EE54B1"/>
    <w:rsid w:val="00F00926"/>
    <w:rsid w:val="00F0355F"/>
    <w:rsid w:val="00F20656"/>
    <w:rsid w:val="00F51F8C"/>
    <w:rsid w:val="00F70FE3"/>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69</Pages>
  <Words>19283</Words>
  <Characters>109916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2022-06-28T06:53:00Z</dcterms:created>
  <dcterms:modified xsi:type="dcterms:W3CDTF">2022-06-28T12:05:00Z</dcterms:modified>
</cp:coreProperties>
</file>