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2759" w14:textId="77777777" w:rsidR="00E260C1" w:rsidRPr="00270F9A" w:rsidRDefault="00E260C1" w:rsidP="00E260C1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0E8A3496" w14:textId="77777777" w:rsidR="00E260C1" w:rsidRDefault="00E260C1" w:rsidP="00E260C1">
      <w:pPr>
        <w:suppressAutoHyphens/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67101B42" w14:textId="77777777" w:rsidR="00E260C1" w:rsidRPr="002F1D78" w:rsidRDefault="00E260C1" w:rsidP="00E260C1">
      <w:pPr>
        <w:suppressAutoHyphens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6FF298BA" w14:textId="77777777" w:rsidR="00E260C1" w:rsidRPr="004A7814" w:rsidRDefault="00E260C1" w:rsidP="00E260C1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Трубчатый переезд с кадастровым номером 23:11:0607000:1553, площадью 2600 кв.м., расположенный по адресу: Краснодарский край, Каневской </w:t>
      </w:r>
      <w:proofErr w:type="gramStart"/>
      <w:r>
        <w:rPr>
          <w:sz w:val="28"/>
          <w:szCs w:val="28"/>
          <w:shd w:val="clear" w:color="auto" w:fill="FFFFFF"/>
        </w:rPr>
        <w:t>район,  х.</w:t>
      </w:r>
      <w:proofErr w:type="gramEnd"/>
      <w:r>
        <w:rPr>
          <w:sz w:val="28"/>
          <w:szCs w:val="28"/>
          <w:shd w:val="clear" w:color="auto" w:fill="FFFFFF"/>
        </w:rPr>
        <w:t xml:space="preserve"> Ударный, на балке Зубова, восточнее хутора Ударный – ранее торги не проводились</w:t>
      </w:r>
      <w:r w:rsidRPr="00CC0C56">
        <w:rPr>
          <w:sz w:val="28"/>
          <w:szCs w:val="28"/>
          <w:shd w:val="clear" w:color="auto" w:fill="FFFFFF"/>
        </w:rPr>
        <w:t>.</w:t>
      </w:r>
    </w:p>
    <w:p w14:paraId="0A6D6EFD" w14:textId="77777777" w:rsidR="00FA4177" w:rsidRDefault="00FA4177"/>
    <w:sectPr w:rsidR="00F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BF"/>
    <w:rsid w:val="00470BBF"/>
    <w:rsid w:val="00E260C1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55DC-6A2C-47DA-90C7-9F862C7E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2023-08-11T13:18:00Z</dcterms:created>
  <dcterms:modified xsi:type="dcterms:W3CDTF">2023-08-11T13:18:00Z</dcterms:modified>
</cp:coreProperties>
</file>