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633B6">
        <w:rPr>
          <w:color w:val="000000"/>
          <w:sz w:val="28"/>
        </w:rPr>
        <w:t>17</w:t>
      </w:r>
      <w:r w:rsidR="00412981">
        <w:rPr>
          <w:color w:val="000000"/>
          <w:sz w:val="28"/>
        </w:rPr>
        <w:t>.0</w:t>
      </w:r>
      <w:r w:rsidR="003633B6">
        <w:rPr>
          <w:color w:val="000000"/>
          <w:sz w:val="28"/>
        </w:rPr>
        <w:t>3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576A0">
        <w:rPr>
          <w:color w:val="000000" w:themeColor="text1"/>
          <w:sz w:val="28"/>
        </w:rPr>
        <w:t>20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3633B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633B6" w:rsidRPr="003633B6">
        <w:rPr>
          <w:sz w:val="28"/>
          <w:szCs w:val="28"/>
        </w:rPr>
        <w:t>Об утверждении Правил предоставления молодым семьям социальных выплат из средств бюджета муниципального образования Каневской район на приобретение (строительство) жилья с участием средств федерального и краевого бюджетов</w:t>
      </w:r>
      <w:r w:rsidR="009130C8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633B6" w:rsidRPr="003633B6">
        <w:rPr>
          <w:sz w:val="28"/>
          <w:szCs w:val="28"/>
        </w:rPr>
        <w:t>Об утверждении Правил предоставления молодым семьям социальных выплат из средств бюджета муниципального образования Каневской район на приобретение (строительство) жилья с участием средств федерального и краевого бюджетов</w:t>
      </w:r>
      <w:r w:rsidR="009130C8">
        <w:rPr>
          <w:sz w:val="28"/>
          <w:szCs w:val="28"/>
        </w:rPr>
        <w:t>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      </w:t>
      </w:r>
      <w:r w:rsidR="009130C8">
        <w:rPr>
          <w:b w:val="0"/>
          <w:sz w:val="28"/>
          <w:szCs w:val="28"/>
        </w:rPr>
        <w:t xml:space="preserve">                               </w:t>
      </w:r>
      <w:bookmarkStart w:id="0" w:name="_GoBack"/>
      <w:bookmarkEnd w:id="0"/>
      <w:r w:rsidR="00ED79F1" w:rsidRPr="00ED79F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С.П.</w:t>
      </w:r>
      <w:r w:rsidR="009130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C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130C8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C09E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2023-03-21T06:23:00Z</cp:lastPrinted>
  <dcterms:created xsi:type="dcterms:W3CDTF">2021-08-13T08:28:00Z</dcterms:created>
  <dcterms:modified xsi:type="dcterms:W3CDTF">2023-03-21T06:23:00Z</dcterms:modified>
</cp:coreProperties>
</file>